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1AF00" w14:textId="7DA1712D" w:rsidR="005F25BF" w:rsidRPr="00AF79A4" w:rsidRDefault="005F25BF" w:rsidP="005F25BF">
      <w:pPr>
        <w:jc w:val="center"/>
        <w:rPr>
          <w:rFonts w:ascii="Verdana" w:hAnsi="Verdana"/>
          <w:b/>
        </w:rPr>
      </w:pPr>
      <w:bookmarkStart w:id="0" w:name="_Hlk10035530"/>
      <w:r w:rsidRPr="00AF79A4">
        <w:rPr>
          <w:rFonts w:ascii="Verdana" w:hAnsi="Verdana"/>
          <w:noProof/>
          <w:lang w:val="en-PH" w:eastAsia="en-PH"/>
        </w:rPr>
        <w:drawing>
          <wp:inline distT="0" distB="0" distL="0" distR="0" wp14:anchorId="357FB752" wp14:editId="757524D7">
            <wp:extent cx="1014984" cy="850392"/>
            <wp:effectExtent l="0" t="0" r="0" b="6985"/>
            <wp:docPr id="1" name="Picture 1" descr="https://upload.wikimedia.org/wikipedia/en/thumb/f/fc/Meralco.svg/1226px-Meralc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f/fc/Meralco.svg/1226px-Meralco.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984" cy="850392"/>
                    </a:xfrm>
                    <a:prstGeom prst="rect">
                      <a:avLst/>
                    </a:prstGeom>
                    <a:noFill/>
                    <a:ln>
                      <a:noFill/>
                    </a:ln>
                  </pic:spPr>
                </pic:pic>
              </a:graphicData>
            </a:graphic>
          </wp:inline>
        </w:drawing>
      </w:r>
    </w:p>
    <w:p w14:paraId="39F16AF8" w14:textId="77777777" w:rsidR="005F25BF" w:rsidRPr="00AF79A4" w:rsidRDefault="005F25BF" w:rsidP="005F25BF">
      <w:pPr>
        <w:jc w:val="center"/>
        <w:rPr>
          <w:rFonts w:ascii="Verdana" w:hAnsi="Verdana"/>
          <w:b/>
        </w:rPr>
      </w:pPr>
    </w:p>
    <w:p w14:paraId="17EBB8E3" w14:textId="105E869B" w:rsidR="00A46B46" w:rsidRDefault="00174AAC" w:rsidP="005F25BF">
      <w:pPr>
        <w:jc w:val="center"/>
        <w:rPr>
          <w:rFonts w:ascii="Verdana" w:hAnsi="Verdana"/>
          <w:b/>
        </w:rPr>
      </w:pPr>
      <w:r w:rsidRPr="00444C36">
        <w:rPr>
          <w:rFonts w:ascii="Verdana" w:hAnsi="Verdana"/>
          <w:b/>
        </w:rPr>
        <w:t xml:space="preserve">Second </w:t>
      </w:r>
      <w:r w:rsidR="005F25BF" w:rsidRPr="00444C36">
        <w:rPr>
          <w:rFonts w:ascii="Verdana" w:hAnsi="Verdana"/>
          <w:b/>
        </w:rPr>
        <w:t>Bid Requirements for Contract Capacity of</w:t>
      </w:r>
      <w:r w:rsidR="005F25BF" w:rsidRPr="00AF79A4">
        <w:rPr>
          <w:rFonts w:ascii="Verdana" w:hAnsi="Verdana"/>
          <w:b/>
        </w:rPr>
        <w:t xml:space="preserve"> </w:t>
      </w:r>
    </w:p>
    <w:p w14:paraId="548DAD13" w14:textId="60461E5B" w:rsidR="005F25BF" w:rsidRPr="00AF79A4" w:rsidRDefault="005F25BF" w:rsidP="005F25BF">
      <w:pPr>
        <w:jc w:val="center"/>
        <w:rPr>
          <w:rFonts w:ascii="Verdana" w:hAnsi="Verdana"/>
          <w:b/>
        </w:rPr>
      </w:pPr>
      <w:r w:rsidRPr="00AF79A4">
        <w:rPr>
          <w:rFonts w:ascii="Verdana" w:hAnsi="Verdana"/>
          <w:b/>
        </w:rPr>
        <w:t>1</w:t>
      </w:r>
      <w:r w:rsidR="009631DF" w:rsidRPr="00AF79A4">
        <w:rPr>
          <w:rFonts w:ascii="Verdana" w:hAnsi="Verdana"/>
          <w:b/>
        </w:rPr>
        <w:t>,</w:t>
      </w:r>
      <w:r w:rsidRPr="00AF79A4">
        <w:rPr>
          <w:rFonts w:ascii="Verdana" w:hAnsi="Verdana"/>
          <w:b/>
        </w:rPr>
        <w:t>200 MW</w:t>
      </w:r>
      <w:r w:rsidR="00BA2F21" w:rsidRPr="00AF79A4">
        <w:rPr>
          <w:rFonts w:ascii="Verdana" w:hAnsi="Verdana"/>
          <w:b/>
        </w:rPr>
        <w:t xml:space="preserve"> (net)</w:t>
      </w:r>
      <w:r w:rsidR="00A46B46">
        <w:rPr>
          <w:rFonts w:ascii="Verdana" w:hAnsi="Verdana"/>
          <w:b/>
        </w:rPr>
        <w:t>, COD 2024</w:t>
      </w:r>
    </w:p>
    <w:p w14:paraId="53F101AD" w14:textId="6D295EFE" w:rsidR="005F25BF" w:rsidRDefault="005F25BF" w:rsidP="00B715B4">
      <w:pPr>
        <w:rPr>
          <w:rFonts w:ascii="Verdana" w:hAnsi="Verdana"/>
        </w:rPr>
      </w:pPr>
    </w:p>
    <w:p w14:paraId="5E5AFD5E" w14:textId="77777777" w:rsidR="00554AEB" w:rsidRDefault="00554AEB" w:rsidP="00554AEB">
      <w:pPr>
        <w:rPr>
          <w:rFonts w:ascii="Verdana" w:hAnsi="Verdana"/>
          <w:b/>
          <w:sz w:val="22"/>
          <w:szCs w:val="22"/>
          <w:u w:val="single"/>
        </w:rPr>
      </w:pPr>
      <w:r>
        <w:rPr>
          <w:rFonts w:ascii="Verdana" w:hAnsi="Verdana"/>
          <w:b/>
          <w:sz w:val="22"/>
          <w:szCs w:val="22"/>
          <w:u w:val="single"/>
        </w:rPr>
        <w:t>Qualifying to Bid</w:t>
      </w:r>
    </w:p>
    <w:p w14:paraId="7651EDC2" w14:textId="77777777" w:rsidR="00573EF8" w:rsidRPr="00AF79A4" w:rsidRDefault="00573EF8" w:rsidP="00B715B4">
      <w:pPr>
        <w:rPr>
          <w:rFonts w:ascii="Verdana" w:hAnsi="Verdana"/>
        </w:rPr>
      </w:pPr>
    </w:p>
    <w:p w14:paraId="51D43232" w14:textId="7C828004" w:rsidR="00B715B4" w:rsidRPr="0083451B" w:rsidRDefault="00B715B4" w:rsidP="00B715B4">
      <w:pPr>
        <w:rPr>
          <w:rFonts w:ascii="Verdana" w:hAnsi="Verdana"/>
          <w:sz w:val="22"/>
          <w:szCs w:val="22"/>
        </w:rPr>
      </w:pPr>
      <w:proofErr w:type="gramStart"/>
      <w:r w:rsidRPr="0083451B">
        <w:rPr>
          <w:rFonts w:ascii="Verdana" w:hAnsi="Verdana"/>
          <w:sz w:val="22"/>
          <w:szCs w:val="22"/>
        </w:rPr>
        <w:t>In order to</w:t>
      </w:r>
      <w:proofErr w:type="gramEnd"/>
      <w:r w:rsidRPr="0083451B">
        <w:rPr>
          <w:rFonts w:ascii="Verdana" w:hAnsi="Verdana"/>
          <w:sz w:val="22"/>
          <w:szCs w:val="22"/>
        </w:rPr>
        <w:t xml:space="preserve"> qualify to bid, a</w:t>
      </w:r>
      <w:r w:rsidR="00BA2F21" w:rsidRPr="0083451B">
        <w:rPr>
          <w:rFonts w:ascii="Verdana" w:hAnsi="Verdana"/>
          <w:sz w:val="22"/>
          <w:szCs w:val="22"/>
        </w:rPr>
        <w:t xml:space="preserve"> </w:t>
      </w:r>
      <w:r w:rsidRPr="0083451B">
        <w:rPr>
          <w:rFonts w:ascii="Verdana" w:hAnsi="Verdana"/>
          <w:sz w:val="22"/>
          <w:szCs w:val="22"/>
        </w:rPr>
        <w:t xml:space="preserve">Bidder must timely submit to the </w:t>
      </w:r>
      <w:r w:rsidRPr="0083451B">
        <w:rPr>
          <w:rFonts w:ascii="Verdana" w:hAnsi="Verdana"/>
          <w:sz w:val="22"/>
          <w:szCs w:val="22"/>
          <w:lang w:val="en-PH"/>
        </w:rPr>
        <w:t xml:space="preserve">TPBAC–Secretariat </w:t>
      </w:r>
      <w:r w:rsidR="00644F86" w:rsidRPr="0083451B">
        <w:rPr>
          <w:rFonts w:ascii="Verdana" w:hAnsi="Verdana"/>
          <w:sz w:val="22"/>
          <w:szCs w:val="22"/>
          <w:lang w:val="en-PH"/>
        </w:rPr>
        <w:t>receiving o</w:t>
      </w:r>
      <w:r w:rsidRPr="0083451B">
        <w:rPr>
          <w:rFonts w:ascii="Verdana" w:hAnsi="Verdana"/>
          <w:sz w:val="22"/>
          <w:szCs w:val="22"/>
          <w:lang w:val="en-PH"/>
        </w:rPr>
        <w:t>ffice</w:t>
      </w:r>
      <w:r w:rsidRPr="0083451B">
        <w:rPr>
          <w:rFonts w:ascii="Verdana" w:hAnsi="Verdana"/>
          <w:sz w:val="22"/>
          <w:szCs w:val="22"/>
        </w:rPr>
        <w:t xml:space="preserve"> three </w:t>
      </w:r>
      <w:r w:rsidR="00433E39" w:rsidRPr="0083451B">
        <w:rPr>
          <w:rFonts w:ascii="Verdana" w:hAnsi="Verdana"/>
          <w:sz w:val="22"/>
          <w:szCs w:val="22"/>
        </w:rPr>
        <w:t xml:space="preserve">(3) </w:t>
      </w:r>
      <w:r w:rsidRPr="0083451B">
        <w:rPr>
          <w:rFonts w:ascii="Verdana" w:hAnsi="Verdana"/>
          <w:sz w:val="22"/>
          <w:szCs w:val="22"/>
        </w:rPr>
        <w:t xml:space="preserve">separate </w:t>
      </w:r>
      <w:r w:rsidR="00EB0227" w:rsidRPr="0083451B">
        <w:rPr>
          <w:rFonts w:ascii="Verdana" w:hAnsi="Verdana"/>
          <w:sz w:val="22"/>
          <w:szCs w:val="22"/>
        </w:rPr>
        <w:t xml:space="preserve">sealed </w:t>
      </w:r>
      <w:r w:rsidRPr="0083451B">
        <w:rPr>
          <w:rFonts w:ascii="Verdana" w:hAnsi="Verdana"/>
          <w:sz w:val="22"/>
          <w:szCs w:val="22"/>
        </w:rPr>
        <w:t>envelopes</w:t>
      </w:r>
      <w:r w:rsidR="00105288">
        <w:rPr>
          <w:rFonts w:ascii="Verdana" w:hAnsi="Verdana"/>
          <w:sz w:val="22"/>
          <w:szCs w:val="22"/>
        </w:rPr>
        <w:t>, placed in a sealed box,</w:t>
      </w:r>
      <w:r w:rsidRPr="0083451B">
        <w:rPr>
          <w:rFonts w:ascii="Verdana" w:hAnsi="Verdana"/>
          <w:sz w:val="22"/>
          <w:szCs w:val="22"/>
        </w:rPr>
        <w:t xml:space="preserve"> containing its (a) Qualification Documents (Envelope 1) to demonstrate its compliance with all the Legal Qualification Requirements, Technical Qualification Requirements and Financial Qualification Requirements (“</w:t>
      </w:r>
      <w:r w:rsidRPr="0083451B">
        <w:rPr>
          <w:rFonts w:ascii="Verdana" w:hAnsi="Verdana"/>
          <w:b/>
          <w:sz w:val="22"/>
          <w:szCs w:val="22"/>
          <w:u w:val="single"/>
        </w:rPr>
        <w:t>Qualification Requirements</w:t>
      </w:r>
      <w:r w:rsidRPr="0083451B">
        <w:rPr>
          <w:rFonts w:ascii="Verdana" w:hAnsi="Verdana"/>
          <w:i/>
          <w:sz w:val="22"/>
          <w:szCs w:val="22"/>
        </w:rPr>
        <w:t>”</w:t>
      </w:r>
      <w:r w:rsidRPr="0083451B">
        <w:rPr>
          <w:rFonts w:ascii="Verdana" w:hAnsi="Verdana"/>
          <w:sz w:val="22"/>
          <w:szCs w:val="22"/>
        </w:rPr>
        <w:t>); (b) Technical Proposal (Envelope 2); and (c) Bid, including the Bid Security</w:t>
      </w:r>
      <w:r w:rsidR="001E477C" w:rsidRPr="0083451B">
        <w:rPr>
          <w:rFonts w:ascii="Verdana" w:hAnsi="Verdana"/>
          <w:sz w:val="22"/>
          <w:szCs w:val="22"/>
        </w:rPr>
        <w:t>,</w:t>
      </w:r>
      <w:r w:rsidRPr="0083451B">
        <w:rPr>
          <w:rFonts w:ascii="Verdana" w:hAnsi="Verdana"/>
          <w:sz w:val="22"/>
          <w:szCs w:val="22"/>
        </w:rPr>
        <w:t xml:space="preserve"> (Envelope 3).</w:t>
      </w:r>
      <w:bookmarkEnd w:id="0"/>
      <w:r w:rsidRPr="0083451B">
        <w:rPr>
          <w:rFonts w:ascii="Verdana" w:hAnsi="Verdana"/>
          <w:sz w:val="22"/>
          <w:szCs w:val="22"/>
        </w:rPr>
        <w:t xml:space="preserve">  </w:t>
      </w:r>
      <w:bookmarkStart w:id="1" w:name="_Hlk27731184"/>
      <w:r w:rsidR="00DD2CC7" w:rsidRPr="00DD2CC7">
        <w:rPr>
          <w:rFonts w:ascii="Verdana" w:hAnsi="Verdana"/>
          <w:sz w:val="22"/>
          <w:szCs w:val="22"/>
        </w:rPr>
        <w:t>A</w:t>
      </w:r>
      <w:r w:rsidR="00DD2CC7">
        <w:rPr>
          <w:rFonts w:ascii="Verdana" w:hAnsi="Verdana"/>
          <w:sz w:val="22"/>
          <w:szCs w:val="22"/>
        </w:rPr>
        <w:t xml:space="preserve">n Interested </w:t>
      </w:r>
      <w:r w:rsidR="00DD2CC7" w:rsidRPr="00DD2CC7">
        <w:rPr>
          <w:rFonts w:ascii="Verdana" w:hAnsi="Verdana"/>
          <w:sz w:val="22"/>
          <w:szCs w:val="22"/>
        </w:rPr>
        <w:t>Bidder shall submit a Bid</w:t>
      </w:r>
      <w:r w:rsidR="00254FA9">
        <w:rPr>
          <w:rFonts w:ascii="Verdana" w:hAnsi="Verdana"/>
          <w:sz w:val="22"/>
          <w:szCs w:val="22"/>
        </w:rPr>
        <w:t xml:space="preserve"> price</w:t>
      </w:r>
      <w:r w:rsidR="00DD2CC7" w:rsidRPr="00DD2CC7">
        <w:rPr>
          <w:rFonts w:ascii="Verdana" w:hAnsi="Verdana"/>
          <w:sz w:val="22"/>
          <w:szCs w:val="22"/>
        </w:rPr>
        <w:t xml:space="preserve"> containing its Headline Rate (Proposed Price using </w:t>
      </w:r>
      <w:r w:rsidR="00F160A0">
        <w:rPr>
          <w:rFonts w:ascii="Verdana" w:hAnsi="Verdana"/>
          <w:sz w:val="22"/>
          <w:szCs w:val="22"/>
        </w:rPr>
        <w:t>2020</w:t>
      </w:r>
      <w:r w:rsidR="00DD2CC7" w:rsidRPr="00DD2CC7">
        <w:rPr>
          <w:rFonts w:ascii="Verdana" w:hAnsi="Verdana"/>
          <w:sz w:val="22"/>
          <w:szCs w:val="22"/>
        </w:rPr>
        <w:t xml:space="preserve"> indices and prices) and its Levelized Cost of Electricity (LCOE) (the “</w:t>
      </w:r>
      <w:r w:rsidR="00DD2CC7" w:rsidRPr="00E13105">
        <w:rPr>
          <w:rFonts w:ascii="Verdana" w:hAnsi="Verdana"/>
          <w:b/>
          <w:sz w:val="22"/>
          <w:szCs w:val="22"/>
        </w:rPr>
        <w:t>Bid Offer</w:t>
      </w:r>
      <w:r w:rsidR="00DD2CC7" w:rsidRPr="00DD2CC7">
        <w:rPr>
          <w:rFonts w:ascii="Verdana" w:hAnsi="Verdana"/>
          <w:sz w:val="22"/>
          <w:szCs w:val="22"/>
        </w:rPr>
        <w:t>”).</w:t>
      </w:r>
      <w:bookmarkEnd w:id="1"/>
    </w:p>
    <w:p w14:paraId="2CD2745D" w14:textId="77777777" w:rsidR="00B715B4" w:rsidRPr="0083451B" w:rsidRDefault="00B715B4" w:rsidP="00B715B4">
      <w:pPr>
        <w:jc w:val="left"/>
        <w:rPr>
          <w:rFonts w:ascii="Verdana" w:hAnsi="Verdana"/>
          <w:sz w:val="22"/>
          <w:szCs w:val="22"/>
        </w:rPr>
      </w:pPr>
    </w:p>
    <w:p w14:paraId="1E89A68B" w14:textId="02842B99" w:rsidR="00B715B4" w:rsidRPr="0083451B" w:rsidRDefault="00B715B4" w:rsidP="00B715B4">
      <w:pPr>
        <w:rPr>
          <w:rFonts w:ascii="Verdana" w:hAnsi="Verdana"/>
          <w:sz w:val="22"/>
          <w:szCs w:val="22"/>
        </w:rPr>
      </w:pPr>
      <w:r w:rsidRPr="0083451B">
        <w:rPr>
          <w:rFonts w:ascii="Verdana" w:hAnsi="Verdana"/>
          <w:sz w:val="22"/>
          <w:szCs w:val="22"/>
        </w:rPr>
        <w:t xml:space="preserve">If Bidder </w:t>
      </w:r>
      <w:r w:rsidR="00260D65">
        <w:rPr>
          <w:rFonts w:ascii="Verdana" w:hAnsi="Verdana"/>
          <w:sz w:val="22"/>
          <w:szCs w:val="22"/>
        </w:rPr>
        <w:t xml:space="preserve">formed </w:t>
      </w:r>
      <w:r w:rsidRPr="0083451B">
        <w:rPr>
          <w:rFonts w:ascii="Verdana" w:hAnsi="Verdana"/>
          <w:sz w:val="22"/>
          <w:szCs w:val="22"/>
        </w:rPr>
        <w:t xml:space="preserve">a partnership or </w:t>
      </w:r>
      <w:r w:rsidR="004D203A" w:rsidRPr="0083451B">
        <w:rPr>
          <w:rFonts w:ascii="Verdana" w:hAnsi="Verdana"/>
          <w:sz w:val="22"/>
          <w:szCs w:val="22"/>
        </w:rPr>
        <w:t>consortium</w:t>
      </w:r>
      <w:r w:rsidR="00260D65">
        <w:rPr>
          <w:rFonts w:ascii="Verdana" w:hAnsi="Verdana"/>
          <w:sz w:val="22"/>
          <w:szCs w:val="22"/>
        </w:rPr>
        <w:t xml:space="preserve"> for the purpose of participating in this bidding</w:t>
      </w:r>
      <w:r w:rsidRPr="0083451B">
        <w:rPr>
          <w:rFonts w:ascii="Verdana" w:hAnsi="Verdana"/>
          <w:sz w:val="22"/>
          <w:szCs w:val="22"/>
        </w:rPr>
        <w:t xml:space="preserve">, </w:t>
      </w:r>
      <w:r w:rsidR="004D203A" w:rsidRPr="0083451B">
        <w:rPr>
          <w:rFonts w:ascii="Verdana" w:hAnsi="Verdana"/>
          <w:sz w:val="22"/>
          <w:szCs w:val="22"/>
        </w:rPr>
        <w:t>aside from submission of</w:t>
      </w:r>
      <w:r w:rsidRPr="0083451B">
        <w:rPr>
          <w:rFonts w:ascii="Verdana" w:hAnsi="Verdana"/>
          <w:sz w:val="22"/>
          <w:szCs w:val="22"/>
        </w:rPr>
        <w:t xml:space="preserve"> an agreement showing that liability in this Bidding and the resulting Power Supply Agreement </w:t>
      </w:r>
      <w:r w:rsidR="00534D25" w:rsidRPr="0083451B">
        <w:rPr>
          <w:rFonts w:ascii="Verdana" w:hAnsi="Verdana"/>
          <w:sz w:val="22"/>
          <w:szCs w:val="22"/>
        </w:rPr>
        <w:t>shall be</w:t>
      </w:r>
      <w:r w:rsidRPr="0083451B">
        <w:rPr>
          <w:rFonts w:ascii="Verdana" w:hAnsi="Verdana"/>
          <w:sz w:val="22"/>
          <w:szCs w:val="22"/>
        </w:rPr>
        <w:t xml:space="preserve"> solidary</w:t>
      </w:r>
      <w:r w:rsidR="004D203A" w:rsidRPr="0083451B">
        <w:rPr>
          <w:rFonts w:ascii="Verdana" w:hAnsi="Verdana"/>
          <w:sz w:val="22"/>
          <w:szCs w:val="22"/>
        </w:rPr>
        <w:t xml:space="preserve"> for the parties thereto, each party to the partnership or consortium must </w:t>
      </w:r>
      <w:r w:rsidR="009D5FDA" w:rsidRPr="0083451B">
        <w:rPr>
          <w:rFonts w:ascii="Verdana" w:hAnsi="Verdana"/>
          <w:sz w:val="22"/>
          <w:szCs w:val="22"/>
        </w:rPr>
        <w:t xml:space="preserve">submit </w:t>
      </w:r>
      <w:r w:rsidR="00D77774">
        <w:rPr>
          <w:rFonts w:ascii="Verdana" w:hAnsi="Verdana"/>
          <w:sz w:val="22"/>
          <w:szCs w:val="22"/>
        </w:rPr>
        <w:t xml:space="preserve">separately </w:t>
      </w:r>
      <w:r w:rsidR="004D203A" w:rsidRPr="0083451B">
        <w:rPr>
          <w:rFonts w:ascii="Verdana" w:hAnsi="Verdana"/>
          <w:sz w:val="22"/>
          <w:szCs w:val="22"/>
        </w:rPr>
        <w:t xml:space="preserve">the Qualification </w:t>
      </w:r>
      <w:r w:rsidR="009D5FDA" w:rsidRPr="0083451B">
        <w:rPr>
          <w:rFonts w:ascii="Verdana" w:hAnsi="Verdana"/>
          <w:sz w:val="22"/>
          <w:szCs w:val="22"/>
        </w:rPr>
        <w:t>Documen</w:t>
      </w:r>
      <w:r w:rsidR="004D203A" w:rsidRPr="0083451B">
        <w:rPr>
          <w:rFonts w:ascii="Verdana" w:hAnsi="Verdana"/>
          <w:sz w:val="22"/>
          <w:szCs w:val="22"/>
        </w:rPr>
        <w:t>ts</w:t>
      </w:r>
      <w:r w:rsidR="003F51F2">
        <w:rPr>
          <w:rFonts w:ascii="Verdana" w:hAnsi="Verdana"/>
          <w:sz w:val="22"/>
          <w:szCs w:val="22"/>
        </w:rPr>
        <w:t xml:space="preserve"> (Envelope 1) and Technical Proposal</w:t>
      </w:r>
      <w:r w:rsidR="0009672B">
        <w:rPr>
          <w:rFonts w:ascii="Verdana" w:hAnsi="Verdana"/>
          <w:sz w:val="22"/>
          <w:szCs w:val="22"/>
        </w:rPr>
        <w:t xml:space="preserve"> (Envelope </w:t>
      </w:r>
      <w:r w:rsidR="003F51F2">
        <w:rPr>
          <w:rFonts w:ascii="Verdana" w:hAnsi="Verdana"/>
          <w:sz w:val="22"/>
          <w:szCs w:val="22"/>
        </w:rPr>
        <w:t>2</w:t>
      </w:r>
      <w:r w:rsidR="0009672B">
        <w:rPr>
          <w:rFonts w:ascii="Verdana" w:hAnsi="Verdana"/>
          <w:sz w:val="22"/>
          <w:szCs w:val="22"/>
        </w:rPr>
        <w:t>)</w:t>
      </w:r>
      <w:r w:rsidR="003F51F2">
        <w:rPr>
          <w:rFonts w:ascii="Verdana" w:hAnsi="Verdana"/>
          <w:sz w:val="22"/>
          <w:szCs w:val="22"/>
        </w:rPr>
        <w:t xml:space="preserve"> (</w:t>
      </w:r>
      <w:r w:rsidR="00CA12F3">
        <w:rPr>
          <w:rFonts w:ascii="Verdana" w:hAnsi="Verdana"/>
          <w:sz w:val="22"/>
          <w:szCs w:val="22"/>
        </w:rPr>
        <w:t>e.g.</w:t>
      </w:r>
      <w:r w:rsidR="003F51F2">
        <w:rPr>
          <w:rFonts w:ascii="Verdana" w:hAnsi="Verdana"/>
          <w:sz w:val="22"/>
          <w:szCs w:val="22"/>
        </w:rPr>
        <w:t xml:space="preserve"> especially if different </w:t>
      </w:r>
      <w:r w:rsidR="00CA12F3">
        <w:rPr>
          <w:rFonts w:ascii="Verdana" w:hAnsi="Verdana"/>
          <w:sz w:val="22"/>
          <w:szCs w:val="22"/>
        </w:rPr>
        <w:t>Nominated Power Plants for each partner/consortium member)</w:t>
      </w:r>
      <w:r w:rsidR="0009672B">
        <w:rPr>
          <w:rFonts w:ascii="Verdana" w:hAnsi="Verdana"/>
          <w:sz w:val="22"/>
          <w:szCs w:val="22"/>
        </w:rPr>
        <w:t xml:space="preserve">, but shall submit </w:t>
      </w:r>
      <w:r w:rsidR="00211822">
        <w:rPr>
          <w:rFonts w:ascii="Verdana" w:hAnsi="Verdana"/>
          <w:sz w:val="22"/>
          <w:szCs w:val="22"/>
        </w:rPr>
        <w:t xml:space="preserve">(as one and) only one </w:t>
      </w:r>
      <w:r w:rsidR="00211822" w:rsidRPr="00F920F2">
        <w:rPr>
          <w:rFonts w:ascii="Verdana" w:hAnsi="Verdana"/>
          <w:sz w:val="22"/>
          <w:szCs w:val="22"/>
        </w:rPr>
        <w:t>Bid, including the Bid Security, (Envelope 3)</w:t>
      </w:r>
      <w:r w:rsidR="00DD2CC7">
        <w:rPr>
          <w:rFonts w:ascii="Verdana" w:hAnsi="Verdana"/>
          <w:sz w:val="22"/>
          <w:szCs w:val="22"/>
        </w:rPr>
        <w:t>, at the Bid Submission Deadline</w:t>
      </w:r>
      <w:r w:rsidRPr="0083451B">
        <w:rPr>
          <w:rFonts w:ascii="Verdana" w:hAnsi="Verdana"/>
          <w:sz w:val="22"/>
          <w:szCs w:val="22"/>
        </w:rPr>
        <w:t>.</w:t>
      </w:r>
      <w:r w:rsidR="004D203A" w:rsidRPr="0083451B">
        <w:rPr>
          <w:rFonts w:ascii="Verdana" w:hAnsi="Verdana"/>
          <w:sz w:val="22"/>
          <w:szCs w:val="22"/>
        </w:rPr>
        <w:t xml:space="preserve"> For this purpose, in relation to </w:t>
      </w:r>
      <w:r w:rsidR="00E45162" w:rsidRPr="0083451B">
        <w:rPr>
          <w:rFonts w:ascii="Verdana" w:hAnsi="Verdana"/>
          <w:sz w:val="22"/>
          <w:szCs w:val="22"/>
        </w:rPr>
        <w:t>the</w:t>
      </w:r>
      <w:r w:rsidR="00EB0227" w:rsidRPr="0083451B">
        <w:rPr>
          <w:rFonts w:ascii="Verdana" w:hAnsi="Verdana"/>
          <w:sz w:val="22"/>
          <w:szCs w:val="22"/>
        </w:rPr>
        <w:t xml:space="preserve"> </w:t>
      </w:r>
      <w:r w:rsidR="009D5FDA" w:rsidRPr="0083451B">
        <w:rPr>
          <w:rFonts w:ascii="Verdana" w:hAnsi="Verdana"/>
          <w:sz w:val="22"/>
          <w:szCs w:val="22"/>
        </w:rPr>
        <w:t>Qualification Documents and Technical Proposal, each party to a Bidder partnership or consortium shall be construed as the “</w:t>
      </w:r>
      <w:r w:rsidR="009D5FDA" w:rsidRPr="0083451B">
        <w:rPr>
          <w:rFonts w:ascii="Verdana" w:hAnsi="Verdana"/>
          <w:b/>
          <w:bCs/>
          <w:sz w:val="22"/>
          <w:szCs w:val="22"/>
        </w:rPr>
        <w:t>Bidder</w:t>
      </w:r>
      <w:r w:rsidR="009D5FDA" w:rsidRPr="0083451B">
        <w:rPr>
          <w:rFonts w:ascii="Verdana" w:hAnsi="Verdana"/>
          <w:sz w:val="22"/>
          <w:szCs w:val="22"/>
        </w:rPr>
        <w:t>”.</w:t>
      </w:r>
      <w:r w:rsidR="00EB0227" w:rsidRPr="0083451B">
        <w:rPr>
          <w:rFonts w:ascii="Verdana" w:hAnsi="Verdana"/>
          <w:sz w:val="22"/>
          <w:szCs w:val="22"/>
        </w:rPr>
        <w:t xml:space="preserve"> </w:t>
      </w:r>
    </w:p>
    <w:p w14:paraId="634D10C8" w14:textId="0E8D895E" w:rsidR="00B715B4" w:rsidRDefault="00B715B4" w:rsidP="00710E49">
      <w:pPr>
        <w:jc w:val="left"/>
        <w:rPr>
          <w:rFonts w:ascii="Verdana" w:hAnsi="Verdana"/>
          <w:b/>
          <w:bCs/>
          <w:iCs/>
          <w:sz w:val="22"/>
          <w:szCs w:val="22"/>
          <w:lang w:val="en-PH"/>
        </w:rPr>
      </w:pPr>
    </w:p>
    <w:p w14:paraId="03AAEDD7" w14:textId="77777777" w:rsidR="00DD2CC7" w:rsidRDefault="00DD2CC7" w:rsidP="00DD2CC7">
      <w:pPr>
        <w:rPr>
          <w:rFonts w:ascii="Verdana" w:hAnsi="Verdana"/>
          <w:bCs/>
          <w:iCs/>
          <w:strike/>
          <w:sz w:val="22"/>
          <w:szCs w:val="22"/>
          <w:lang w:val="en-PH"/>
        </w:rPr>
      </w:pPr>
      <w:r>
        <w:rPr>
          <w:rFonts w:ascii="Verdana" w:hAnsi="Verdana"/>
          <w:bCs/>
          <w:iCs/>
          <w:sz w:val="22"/>
          <w:szCs w:val="22"/>
          <w:lang w:val="en-PH"/>
        </w:rPr>
        <w:t xml:space="preserve">The Bidder must identify the proposed power plant/s, which must </w:t>
      </w:r>
      <w:proofErr w:type="gramStart"/>
      <w:r>
        <w:rPr>
          <w:rFonts w:ascii="Verdana" w:hAnsi="Verdana"/>
          <w:bCs/>
          <w:iCs/>
          <w:sz w:val="22"/>
          <w:szCs w:val="22"/>
          <w:lang w:val="en-PH"/>
        </w:rPr>
        <w:t>be capable of supplying</w:t>
      </w:r>
      <w:proofErr w:type="gramEnd"/>
      <w:r>
        <w:rPr>
          <w:rFonts w:ascii="Verdana" w:hAnsi="Verdana"/>
          <w:bCs/>
          <w:iCs/>
          <w:sz w:val="22"/>
          <w:szCs w:val="22"/>
          <w:lang w:val="en-PH"/>
        </w:rPr>
        <w:t xml:space="preserve"> the Offered Contract Capacity to Meralco for the Required Contract Period beginning on the Scheduled Commercial Operations Date (“</w:t>
      </w:r>
      <w:r>
        <w:rPr>
          <w:rFonts w:ascii="Verdana" w:hAnsi="Verdana"/>
          <w:b/>
          <w:bCs/>
          <w:iCs/>
          <w:sz w:val="22"/>
          <w:szCs w:val="22"/>
          <w:u w:val="single"/>
          <w:lang w:val="en-PH"/>
        </w:rPr>
        <w:t>Nominated Power Plant</w:t>
      </w:r>
      <w:r>
        <w:rPr>
          <w:rFonts w:ascii="Verdana" w:hAnsi="Verdana"/>
          <w:bCs/>
          <w:iCs/>
          <w:sz w:val="22"/>
          <w:szCs w:val="22"/>
          <w:lang w:val="en-PH"/>
        </w:rPr>
        <w:t>”). To reiterate, the Nominated Power Plant/s shall be with one Delivery Point (for purposes of settlement and transfer of risk and loss) within the Luzon Grid,</w:t>
      </w:r>
      <w:r>
        <w:rPr>
          <w:rFonts w:ascii="Verdana" w:hAnsi="Verdana"/>
          <w:sz w:val="22"/>
          <w:szCs w:val="22"/>
        </w:rPr>
        <w:t xml:space="preserve"> nearest to Meralco’s load center, and subject to Meralco’s approval.</w:t>
      </w:r>
    </w:p>
    <w:p w14:paraId="66DB90CC" w14:textId="0FD9829A" w:rsidR="00DD2CC7" w:rsidRDefault="00DD2CC7" w:rsidP="00710E49">
      <w:pPr>
        <w:jc w:val="left"/>
        <w:rPr>
          <w:rFonts w:ascii="Verdana" w:hAnsi="Verdana"/>
          <w:b/>
          <w:bCs/>
          <w:iCs/>
          <w:sz w:val="22"/>
          <w:szCs w:val="22"/>
          <w:lang w:val="en-PH"/>
        </w:rPr>
      </w:pPr>
    </w:p>
    <w:p w14:paraId="75A68470" w14:textId="77777777" w:rsidR="00DD2CC7" w:rsidRDefault="00DD2CC7" w:rsidP="00DD2CC7">
      <w:pPr>
        <w:jc w:val="left"/>
        <w:rPr>
          <w:rFonts w:ascii="Verdana" w:hAnsi="Verdana"/>
          <w:b/>
          <w:sz w:val="22"/>
          <w:szCs w:val="22"/>
          <w:u w:val="single"/>
        </w:rPr>
      </w:pPr>
      <w:r>
        <w:rPr>
          <w:rFonts w:ascii="Verdana" w:hAnsi="Verdana"/>
          <w:b/>
          <w:sz w:val="22"/>
          <w:szCs w:val="22"/>
          <w:u w:val="single"/>
        </w:rPr>
        <w:t>Pay-as-Bid Mechanism</w:t>
      </w:r>
    </w:p>
    <w:p w14:paraId="1033B793" w14:textId="77777777" w:rsidR="00DD2CC7" w:rsidRDefault="00DD2CC7" w:rsidP="00DD2CC7">
      <w:pPr>
        <w:jc w:val="left"/>
        <w:rPr>
          <w:rFonts w:ascii="Verdana" w:hAnsi="Verdana"/>
          <w:sz w:val="22"/>
          <w:szCs w:val="22"/>
        </w:rPr>
      </w:pPr>
    </w:p>
    <w:p w14:paraId="2B1631AF" w14:textId="682FB13F" w:rsidR="00DD2CC7" w:rsidRDefault="00DD2CC7" w:rsidP="00DD2CC7">
      <w:pPr>
        <w:rPr>
          <w:rFonts w:ascii="Verdana" w:hAnsi="Verdana"/>
          <w:sz w:val="22"/>
          <w:szCs w:val="22"/>
        </w:rPr>
      </w:pPr>
      <w:r>
        <w:rPr>
          <w:rFonts w:ascii="Verdana" w:hAnsi="Verdana"/>
          <w:sz w:val="22"/>
          <w:szCs w:val="22"/>
        </w:rPr>
        <w:t xml:space="preserve">This Bidding process will be “Pay-as-Bid” type of bidding. Under the “Pay-as-Bid” mechanism, the TPBAC shall stack all Bid </w:t>
      </w:r>
      <w:r w:rsidRPr="009E0397">
        <w:rPr>
          <w:rFonts w:ascii="Verdana" w:hAnsi="Verdana"/>
          <w:sz w:val="22"/>
          <w:szCs w:val="22"/>
        </w:rPr>
        <w:t xml:space="preserve">Offers of </w:t>
      </w:r>
      <w:r w:rsidR="001C5C98">
        <w:rPr>
          <w:rFonts w:ascii="Verdana" w:hAnsi="Verdana"/>
          <w:sz w:val="22"/>
          <w:szCs w:val="22"/>
        </w:rPr>
        <w:t>Interested</w:t>
      </w:r>
      <w:r w:rsidRPr="00E13105">
        <w:rPr>
          <w:rFonts w:ascii="Verdana" w:hAnsi="Verdana"/>
          <w:sz w:val="22"/>
          <w:szCs w:val="22"/>
        </w:rPr>
        <w:t xml:space="preserve"> Bidders</w:t>
      </w:r>
      <w:r w:rsidRPr="009E0397">
        <w:rPr>
          <w:rFonts w:ascii="Verdana" w:hAnsi="Verdana"/>
          <w:sz w:val="22"/>
          <w:szCs w:val="22"/>
        </w:rPr>
        <w:t xml:space="preserve"> from</w:t>
      </w:r>
      <w:r>
        <w:rPr>
          <w:rFonts w:ascii="Verdana" w:hAnsi="Verdana"/>
          <w:sz w:val="22"/>
          <w:szCs w:val="22"/>
        </w:rPr>
        <w:t xml:space="preserve"> the lowest to highest Proposed Price using LCOE until the total Contract Capacity required has been filled up. </w:t>
      </w:r>
    </w:p>
    <w:p w14:paraId="0D7CD1A8" w14:textId="77777777" w:rsidR="00DD2CC7" w:rsidRDefault="00DD2CC7" w:rsidP="00DD2CC7">
      <w:pPr>
        <w:rPr>
          <w:rFonts w:ascii="Verdana" w:hAnsi="Verdana"/>
          <w:sz w:val="22"/>
          <w:szCs w:val="22"/>
        </w:rPr>
      </w:pPr>
    </w:p>
    <w:p w14:paraId="0883CDA9" w14:textId="2B409F68" w:rsidR="00DD2CC7" w:rsidRDefault="00DD2CC7" w:rsidP="00DD2CC7">
      <w:pPr>
        <w:rPr>
          <w:rFonts w:ascii="Verdana" w:hAnsi="Verdana"/>
          <w:sz w:val="22"/>
          <w:szCs w:val="22"/>
        </w:rPr>
      </w:pPr>
      <w:r>
        <w:rPr>
          <w:rFonts w:ascii="Verdana" w:hAnsi="Verdana"/>
          <w:sz w:val="22"/>
          <w:szCs w:val="22"/>
        </w:rPr>
        <w:lastRenderedPageBreak/>
        <w:t xml:space="preserve">If the </w:t>
      </w:r>
      <w:r w:rsidR="002C2D89">
        <w:rPr>
          <w:rFonts w:ascii="Verdana" w:hAnsi="Verdana"/>
          <w:sz w:val="22"/>
          <w:szCs w:val="22"/>
        </w:rPr>
        <w:t>Qualified</w:t>
      </w:r>
      <w:r>
        <w:rPr>
          <w:rFonts w:ascii="Verdana" w:hAnsi="Verdana"/>
          <w:sz w:val="22"/>
          <w:szCs w:val="22"/>
        </w:rPr>
        <w:t xml:space="preserve"> Bidders’ total offered capacity go beyond the required Contract Capacity (i.e. more than 1,200 MW), the </w:t>
      </w:r>
      <w:r w:rsidR="00A22E26">
        <w:rPr>
          <w:rFonts w:ascii="Verdana" w:hAnsi="Verdana"/>
          <w:sz w:val="22"/>
          <w:szCs w:val="22"/>
        </w:rPr>
        <w:t>Qualified</w:t>
      </w:r>
      <w:r w:rsidR="00006C23">
        <w:rPr>
          <w:rFonts w:ascii="Verdana" w:hAnsi="Verdana"/>
          <w:sz w:val="22"/>
          <w:szCs w:val="22"/>
        </w:rPr>
        <w:t xml:space="preserve"> </w:t>
      </w:r>
      <w:r>
        <w:rPr>
          <w:rFonts w:ascii="Verdana" w:hAnsi="Verdana"/>
          <w:sz w:val="22"/>
          <w:szCs w:val="22"/>
        </w:rPr>
        <w:t>Bidder that fills up the last stack (hereinafter referred to as the “</w:t>
      </w:r>
      <w:r>
        <w:rPr>
          <w:rFonts w:ascii="Verdana" w:hAnsi="Verdana"/>
          <w:b/>
          <w:sz w:val="22"/>
          <w:szCs w:val="22"/>
        </w:rPr>
        <w:t>Marginal Bid Offer</w:t>
      </w:r>
      <w:r>
        <w:rPr>
          <w:rFonts w:ascii="Verdana" w:hAnsi="Verdana"/>
          <w:sz w:val="22"/>
          <w:szCs w:val="22"/>
        </w:rPr>
        <w:t xml:space="preserve">”) shall have its Offered Contract Capacity reduced accordingly up to the extent of the required Contract Capacity, at its Proposed Price or Marginal Bid Offer Price (if it submitted such in its Bid). For this purpose, in addition to its Bid Offer, </w:t>
      </w:r>
      <w:r w:rsidR="00006C23">
        <w:rPr>
          <w:rFonts w:ascii="Verdana" w:hAnsi="Verdana"/>
          <w:sz w:val="22"/>
        </w:rPr>
        <w:t xml:space="preserve">an Interested </w:t>
      </w:r>
      <w:r>
        <w:rPr>
          <w:rFonts w:ascii="Verdana" w:hAnsi="Verdana"/>
          <w:sz w:val="22"/>
        </w:rPr>
        <w:t>Bidder may submit in its Bid a separate</w:t>
      </w:r>
      <w:r w:rsidR="00CC0929">
        <w:rPr>
          <w:rFonts w:ascii="Verdana" w:hAnsi="Verdana"/>
          <w:sz w:val="22"/>
        </w:rPr>
        <w:t xml:space="preserve"> price containing</w:t>
      </w:r>
      <w:r w:rsidR="00F132D1">
        <w:rPr>
          <w:rFonts w:ascii="Verdana" w:hAnsi="Verdana"/>
          <w:sz w:val="22"/>
        </w:rPr>
        <w:t xml:space="preserve"> its</w:t>
      </w:r>
      <w:r>
        <w:rPr>
          <w:rFonts w:ascii="Verdana" w:hAnsi="Verdana"/>
          <w:sz w:val="22"/>
        </w:rPr>
        <w:t xml:space="preserve"> </w:t>
      </w:r>
      <w:r>
        <w:rPr>
          <w:rFonts w:ascii="Verdana" w:hAnsi="Verdana"/>
          <w:sz w:val="22"/>
          <w:szCs w:val="22"/>
        </w:rPr>
        <w:t xml:space="preserve">Headline Rate (Proposed Price using </w:t>
      </w:r>
      <w:r w:rsidR="00F160A0">
        <w:rPr>
          <w:rFonts w:ascii="Verdana" w:hAnsi="Verdana"/>
          <w:sz w:val="22"/>
          <w:szCs w:val="22"/>
        </w:rPr>
        <w:t>2020</w:t>
      </w:r>
      <w:r>
        <w:rPr>
          <w:rFonts w:ascii="Verdana" w:hAnsi="Verdana"/>
          <w:sz w:val="22"/>
          <w:szCs w:val="22"/>
        </w:rPr>
        <w:t xml:space="preserve"> indices and prices) and its LCOE should its Bid be declared a Marginal Bid Offer and its Offered Contract Capacity needs to be reduced (</w:t>
      </w:r>
      <w:r w:rsidRPr="009E0397">
        <w:rPr>
          <w:rFonts w:ascii="Verdana" w:hAnsi="Verdana"/>
          <w:sz w:val="22"/>
          <w:szCs w:val="22"/>
        </w:rPr>
        <w:t>the “</w:t>
      </w:r>
      <w:r w:rsidRPr="00E13105">
        <w:rPr>
          <w:rFonts w:ascii="Verdana" w:hAnsi="Verdana"/>
          <w:b/>
          <w:sz w:val="22"/>
          <w:szCs w:val="22"/>
        </w:rPr>
        <w:t>Marginal Bid Offer Price</w:t>
      </w:r>
      <w:r w:rsidRPr="009E0397">
        <w:rPr>
          <w:rFonts w:ascii="Verdana" w:hAnsi="Verdana"/>
          <w:sz w:val="22"/>
          <w:szCs w:val="22"/>
        </w:rPr>
        <w:t>”). For clarity, the Marginal Bid Offer Price should still be equal to or lower than the Reserve Price.</w:t>
      </w:r>
      <w:r>
        <w:rPr>
          <w:rFonts w:ascii="Verdana" w:hAnsi="Verdana"/>
          <w:sz w:val="22"/>
          <w:szCs w:val="22"/>
        </w:rPr>
        <w:t xml:space="preserve"> </w:t>
      </w:r>
    </w:p>
    <w:p w14:paraId="437585A4" w14:textId="77777777" w:rsidR="00DD2CC7" w:rsidRDefault="00DD2CC7" w:rsidP="00DD2CC7">
      <w:pPr>
        <w:rPr>
          <w:rFonts w:ascii="Verdana" w:hAnsi="Verdana"/>
          <w:sz w:val="22"/>
          <w:szCs w:val="22"/>
        </w:rPr>
      </w:pPr>
    </w:p>
    <w:p w14:paraId="26740AF0" w14:textId="1A1F9690" w:rsidR="00DD2CC7" w:rsidRDefault="00DD2CC7" w:rsidP="00E13105">
      <w:pPr>
        <w:rPr>
          <w:rFonts w:ascii="Verdana" w:hAnsi="Verdana"/>
          <w:sz w:val="22"/>
          <w:szCs w:val="22"/>
        </w:rPr>
      </w:pPr>
      <w:bookmarkStart w:id="2" w:name="_Hlk27730769"/>
      <w:r w:rsidRPr="00E13105">
        <w:rPr>
          <w:rFonts w:ascii="Verdana" w:hAnsi="Verdana"/>
          <w:sz w:val="22"/>
          <w:szCs w:val="22"/>
        </w:rPr>
        <w:t xml:space="preserve">If the </w:t>
      </w:r>
      <w:r w:rsidR="002C2D89" w:rsidRPr="00E13105">
        <w:rPr>
          <w:rFonts w:ascii="Verdana" w:hAnsi="Verdana"/>
          <w:sz w:val="22"/>
          <w:szCs w:val="22"/>
        </w:rPr>
        <w:t>Qualified</w:t>
      </w:r>
      <w:r w:rsidRPr="00E13105">
        <w:rPr>
          <w:rFonts w:ascii="Verdana" w:hAnsi="Verdana"/>
          <w:sz w:val="22"/>
          <w:szCs w:val="22"/>
        </w:rPr>
        <w:t xml:space="preserve"> Bidders’ total offered capacity fall</w:t>
      </w:r>
      <w:r w:rsidR="004E6DE4" w:rsidRPr="00E13105">
        <w:rPr>
          <w:rFonts w:ascii="Verdana" w:hAnsi="Verdana"/>
          <w:sz w:val="22"/>
          <w:szCs w:val="22"/>
        </w:rPr>
        <w:t>s</w:t>
      </w:r>
      <w:r w:rsidRPr="00E13105">
        <w:rPr>
          <w:rFonts w:ascii="Verdana" w:hAnsi="Verdana"/>
          <w:sz w:val="22"/>
          <w:szCs w:val="22"/>
        </w:rPr>
        <w:t xml:space="preserve"> below the</w:t>
      </w:r>
      <w:r w:rsidR="004E6DE4" w:rsidRPr="00E13105">
        <w:rPr>
          <w:rFonts w:ascii="Verdana" w:hAnsi="Verdana"/>
          <w:sz w:val="22"/>
          <w:szCs w:val="22"/>
        </w:rPr>
        <w:t xml:space="preserve"> required Contract Capacity</w:t>
      </w:r>
      <w:r w:rsidRPr="00E13105">
        <w:rPr>
          <w:rFonts w:ascii="Verdana" w:hAnsi="Verdana"/>
          <w:sz w:val="22"/>
          <w:szCs w:val="22"/>
        </w:rPr>
        <w:t xml:space="preserve"> after the </w:t>
      </w:r>
      <w:r w:rsidR="00AE7CD5" w:rsidRPr="00E13105">
        <w:rPr>
          <w:rFonts w:ascii="Verdana" w:hAnsi="Verdana"/>
          <w:sz w:val="22"/>
          <w:szCs w:val="22"/>
        </w:rPr>
        <w:t xml:space="preserve">Expression of Interest Deadline; opening of Technical Proposals (Envelope </w:t>
      </w:r>
      <w:r w:rsidR="00012C06" w:rsidRPr="00E13105">
        <w:rPr>
          <w:rFonts w:ascii="Verdana" w:hAnsi="Verdana"/>
          <w:sz w:val="22"/>
          <w:szCs w:val="22"/>
        </w:rPr>
        <w:t>2</w:t>
      </w:r>
      <w:r w:rsidR="00AE7CD5" w:rsidRPr="00E13105">
        <w:rPr>
          <w:rFonts w:ascii="Verdana" w:hAnsi="Verdana"/>
          <w:sz w:val="22"/>
          <w:szCs w:val="22"/>
        </w:rPr>
        <w:t xml:space="preserve">); and/or </w:t>
      </w:r>
      <w:r w:rsidRPr="00E13105">
        <w:rPr>
          <w:rFonts w:ascii="Verdana" w:hAnsi="Verdana"/>
          <w:sz w:val="22"/>
          <w:szCs w:val="22"/>
        </w:rPr>
        <w:t>opening of the Bids, the Bidding process will continue</w:t>
      </w:r>
      <w:r w:rsidR="00387465" w:rsidRPr="00E13105">
        <w:rPr>
          <w:rFonts w:ascii="Verdana" w:hAnsi="Verdana"/>
          <w:sz w:val="22"/>
          <w:szCs w:val="22"/>
        </w:rPr>
        <w:t>.</w:t>
      </w:r>
      <w:bookmarkEnd w:id="2"/>
    </w:p>
    <w:p w14:paraId="25D461AB" w14:textId="77777777" w:rsidR="00387465" w:rsidRPr="0083451B" w:rsidRDefault="00387465" w:rsidP="00E13105">
      <w:pPr>
        <w:rPr>
          <w:rFonts w:ascii="Verdana" w:hAnsi="Verdana"/>
          <w:b/>
          <w:bCs/>
          <w:iCs/>
          <w:sz w:val="22"/>
          <w:szCs w:val="22"/>
          <w:lang w:val="en-PH"/>
        </w:rPr>
      </w:pPr>
    </w:p>
    <w:p w14:paraId="2856D290" w14:textId="1EA27FDE" w:rsidR="00710E49" w:rsidRPr="0083451B" w:rsidRDefault="00710E49" w:rsidP="00710E49">
      <w:pPr>
        <w:jc w:val="left"/>
        <w:rPr>
          <w:rFonts w:ascii="Verdana" w:hAnsi="Verdana"/>
          <w:b/>
          <w:bCs/>
          <w:iCs/>
          <w:sz w:val="22"/>
          <w:szCs w:val="22"/>
          <w:u w:val="single"/>
          <w:lang w:val="en-PH"/>
        </w:rPr>
      </w:pPr>
      <w:r w:rsidRPr="0083451B">
        <w:rPr>
          <w:rFonts w:ascii="Verdana" w:hAnsi="Verdana"/>
          <w:b/>
          <w:bCs/>
          <w:iCs/>
          <w:sz w:val="22"/>
          <w:szCs w:val="22"/>
          <w:u w:val="single"/>
          <w:lang w:val="en-PH"/>
        </w:rPr>
        <w:t>Qualification Documents (Envelope 1)</w:t>
      </w:r>
    </w:p>
    <w:p w14:paraId="372C4FE6" w14:textId="77777777" w:rsidR="00930530" w:rsidRPr="0083451B" w:rsidRDefault="00930530" w:rsidP="00930530">
      <w:pPr>
        <w:rPr>
          <w:rFonts w:ascii="Verdana" w:hAnsi="Verdana"/>
          <w:bCs/>
          <w:iCs/>
          <w:sz w:val="22"/>
          <w:szCs w:val="22"/>
          <w:lang w:val="en-PH"/>
        </w:rPr>
      </w:pPr>
    </w:p>
    <w:p w14:paraId="044EB6AA" w14:textId="77777777" w:rsidR="00710E49" w:rsidRPr="0083451B" w:rsidRDefault="00710E49" w:rsidP="00710E49">
      <w:pPr>
        <w:pStyle w:val="ListParagraph"/>
        <w:numPr>
          <w:ilvl w:val="0"/>
          <w:numId w:val="2"/>
        </w:numPr>
        <w:ind w:hanging="720"/>
        <w:rPr>
          <w:rFonts w:ascii="Verdana" w:hAnsi="Verdana"/>
          <w:b/>
          <w:bCs/>
          <w:iCs/>
          <w:sz w:val="22"/>
          <w:szCs w:val="22"/>
          <w:lang w:val="en-PH"/>
        </w:rPr>
      </w:pPr>
      <w:bookmarkStart w:id="3" w:name="_Hlk10716903"/>
      <w:r w:rsidRPr="0083451B">
        <w:rPr>
          <w:rFonts w:ascii="Verdana" w:hAnsi="Verdana"/>
          <w:b/>
          <w:bCs/>
          <w:iCs/>
          <w:sz w:val="22"/>
          <w:szCs w:val="22"/>
          <w:lang w:val="en-PH"/>
        </w:rPr>
        <w:t>Legal Qualification Requirements</w:t>
      </w:r>
    </w:p>
    <w:p w14:paraId="5AC25619" w14:textId="77777777" w:rsidR="00710E49" w:rsidRPr="0083451B" w:rsidRDefault="00710E49" w:rsidP="00710E49">
      <w:pPr>
        <w:pStyle w:val="ListParagraph"/>
        <w:ind w:left="0"/>
        <w:rPr>
          <w:rFonts w:ascii="Verdana" w:hAnsi="Verdana"/>
          <w:bCs/>
          <w:iCs/>
          <w:sz w:val="22"/>
          <w:szCs w:val="22"/>
          <w:lang w:val="en-PH"/>
        </w:rPr>
      </w:pPr>
    </w:p>
    <w:p w14:paraId="6C6DDBB7" w14:textId="4A8DDAFC" w:rsidR="00710E49" w:rsidRPr="0083451B" w:rsidRDefault="00710E49" w:rsidP="00710E49">
      <w:pPr>
        <w:pStyle w:val="ListParagraph"/>
        <w:numPr>
          <w:ilvl w:val="2"/>
          <w:numId w:val="1"/>
        </w:numPr>
        <w:ind w:left="720"/>
        <w:rPr>
          <w:rFonts w:ascii="Verdana" w:hAnsi="Verdana"/>
          <w:sz w:val="22"/>
          <w:szCs w:val="22"/>
        </w:rPr>
      </w:pPr>
      <w:bookmarkStart w:id="4" w:name="_Hlk9940251"/>
      <w:bookmarkStart w:id="5" w:name="_Hlk10035756"/>
      <w:r w:rsidRPr="0083451B">
        <w:rPr>
          <w:rFonts w:ascii="Verdana" w:hAnsi="Verdana"/>
          <w:sz w:val="22"/>
          <w:szCs w:val="22"/>
        </w:rPr>
        <w:t xml:space="preserve">The Bidder </w:t>
      </w:r>
      <w:r w:rsidR="00282A2D" w:rsidRPr="0083451B">
        <w:rPr>
          <w:rFonts w:ascii="Verdana" w:hAnsi="Verdana"/>
          <w:sz w:val="22"/>
          <w:szCs w:val="22"/>
        </w:rPr>
        <w:t>must have</w:t>
      </w:r>
      <w:r w:rsidRPr="0083451B">
        <w:rPr>
          <w:rFonts w:ascii="Verdana" w:hAnsi="Verdana"/>
          <w:sz w:val="22"/>
          <w:szCs w:val="22"/>
        </w:rPr>
        <w:t xml:space="preserve"> the authority, </w:t>
      </w:r>
      <w:r w:rsidRPr="0083451B">
        <w:rPr>
          <w:rFonts w:ascii="Verdana" w:hAnsi="Verdana"/>
          <w:sz w:val="22"/>
          <w:szCs w:val="22"/>
          <w:lang w:val="en-PH"/>
        </w:rPr>
        <w:t>in form and substance prescribed and made available by Meralco,</w:t>
      </w:r>
      <w:r w:rsidRPr="0083451B">
        <w:rPr>
          <w:rFonts w:ascii="Verdana" w:hAnsi="Verdana"/>
          <w:sz w:val="22"/>
          <w:szCs w:val="22"/>
        </w:rPr>
        <w:t xml:space="preserve"> to participate in this Bidding</w:t>
      </w:r>
      <w:bookmarkEnd w:id="4"/>
      <w:r w:rsidRPr="0083451B">
        <w:rPr>
          <w:rFonts w:ascii="Verdana" w:hAnsi="Verdana"/>
          <w:sz w:val="22"/>
          <w:szCs w:val="22"/>
        </w:rPr>
        <w:t xml:space="preserve"> and exe</w:t>
      </w:r>
      <w:r w:rsidR="00D45251" w:rsidRPr="0083451B">
        <w:rPr>
          <w:rFonts w:ascii="Verdana" w:hAnsi="Verdana"/>
          <w:sz w:val="22"/>
          <w:szCs w:val="22"/>
        </w:rPr>
        <w:t>cute the Power Supply Agreement;</w:t>
      </w:r>
      <w:r w:rsidRPr="0083451B">
        <w:rPr>
          <w:rFonts w:ascii="Verdana" w:hAnsi="Verdana"/>
          <w:sz w:val="22"/>
          <w:szCs w:val="22"/>
          <w:lang w:val="en-AU"/>
        </w:rPr>
        <w:t xml:space="preserve"> </w:t>
      </w:r>
      <w:r w:rsidRPr="0083451B">
        <w:rPr>
          <w:rFonts w:ascii="Verdana" w:hAnsi="Verdana"/>
          <w:sz w:val="22"/>
          <w:szCs w:val="22"/>
        </w:rPr>
        <w:t xml:space="preserve"> </w:t>
      </w:r>
    </w:p>
    <w:bookmarkEnd w:id="5"/>
    <w:p w14:paraId="4D92E521" w14:textId="77777777" w:rsidR="00710E49" w:rsidRPr="0083451B" w:rsidRDefault="00710E49" w:rsidP="00710E49">
      <w:pPr>
        <w:pStyle w:val="ListParagraph"/>
        <w:rPr>
          <w:rFonts w:ascii="Verdana" w:hAnsi="Verdana"/>
          <w:bCs/>
          <w:iCs/>
          <w:sz w:val="22"/>
          <w:szCs w:val="22"/>
          <w:lang w:val="en-PH"/>
        </w:rPr>
      </w:pPr>
    </w:p>
    <w:p w14:paraId="2C8AE41F" w14:textId="47354683" w:rsidR="006E08F9" w:rsidRPr="0083451B" w:rsidRDefault="00B715B4" w:rsidP="00AB14EC">
      <w:pPr>
        <w:pStyle w:val="ListParagraph"/>
        <w:numPr>
          <w:ilvl w:val="2"/>
          <w:numId w:val="1"/>
        </w:numPr>
        <w:ind w:left="720"/>
        <w:rPr>
          <w:rFonts w:ascii="Verdana" w:hAnsi="Verdana"/>
          <w:sz w:val="22"/>
          <w:szCs w:val="22"/>
        </w:rPr>
      </w:pPr>
      <w:r w:rsidRPr="0083451B">
        <w:rPr>
          <w:rFonts w:ascii="Verdana" w:hAnsi="Verdana"/>
          <w:sz w:val="22"/>
          <w:szCs w:val="22"/>
          <w:lang w:val="en-AU"/>
        </w:rPr>
        <w:t xml:space="preserve">The </w:t>
      </w:r>
      <w:r w:rsidR="00710E49" w:rsidRPr="0083451B">
        <w:rPr>
          <w:rFonts w:ascii="Verdana" w:hAnsi="Verdana"/>
          <w:sz w:val="22"/>
          <w:szCs w:val="22"/>
          <w:lang w:val="en-AU"/>
        </w:rPr>
        <w:t xml:space="preserve">Bidder must be </w:t>
      </w:r>
      <w:r w:rsidR="00282A2D" w:rsidRPr="0083451B">
        <w:rPr>
          <w:rFonts w:ascii="Verdana" w:hAnsi="Verdana"/>
          <w:sz w:val="22"/>
          <w:szCs w:val="22"/>
          <w:lang w:val="en-AU"/>
        </w:rPr>
        <w:t xml:space="preserve">a </w:t>
      </w:r>
      <w:r w:rsidR="00710E49" w:rsidRPr="0083451B">
        <w:rPr>
          <w:rFonts w:ascii="Verdana" w:hAnsi="Verdana"/>
          <w:sz w:val="22"/>
          <w:szCs w:val="22"/>
        </w:rPr>
        <w:t>duly incorporated, validly existing domestic partnership or corporation duly registered with the Securities and Exchange Commission (“</w:t>
      </w:r>
      <w:r w:rsidR="00710E49" w:rsidRPr="0083451B">
        <w:rPr>
          <w:rFonts w:ascii="Verdana" w:hAnsi="Verdana"/>
          <w:b/>
          <w:sz w:val="22"/>
          <w:szCs w:val="22"/>
          <w:u w:val="single"/>
        </w:rPr>
        <w:t>SEC</w:t>
      </w:r>
      <w:r w:rsidR="00710E49" w:rsidRPr="0083451B">
        <w:rPr>
          <w:rFonts w:ascii="Verdana" w:hAnsi="Verdana"/>
          <w:sz w:val="22"/>
          <w:szCs w:val="22"/>
        </w:rPr>
        <w:t xml:space="preserve">”). </w:t>
      </w:r>
      <w:r w:rsidR="006E08F9" w:rsidRPr="0083451B">
        <w:rPr>
          <w:rFonts w:ascii="Verdana" w:hAnsi="Verdana"/>
          <w:sz w:val="22"/>
          <w:szCs w:val="22"/>
        </w:rPr>
        <w:t>If Bidder</w:t>
      </w:r>
      <w:r w:rsidR="00A06F1A">
        <w:rPr>
          <w:rFonts w:ascii="Verdana" w:hAnsi="Verdana"/>
          <w:sz w:val="22"/>
          <w:szCs w:val="22"/>
        </w:rPr>
        <w:t xml:space="preserve"> </w:t>
      </w:r>
      <w:r w:rsidR="00A06F1A" w:rsidRPr="0083451B">
        <w:rPr>
          <w:rFonts w:ascii="Verdana" w:hAnsi="Verdana"/>
          <w:sz w:val="22"/>
          <w:szCs w:val="22"/>
        </w:rPr>
        <w:t>formed</w:t>
      </w:r>
      <w:r w:rsidR="006E08F9" w:rsidRPr="0083451B">
        <w:rPr>
          <w:rFonts w:ascii="Verdana" w:hAnsi="Verdana"/>
          <w:sz w:val="22"/>
          <w:szCs w:val="22"/>
        </w:rPr>
        <w:t xml:space="preserve"> a partnership or consortium</w:t>
      </w:r>
      <w:r w:rsidR="00CD2B08" w:rsidRPr="0083451B">
        <w:rPr>
          <w:rFonts w:ascii="Verdana" w:hAnsi="Verdana"/>
          <w:sz w:val="22"/>
          <w:szCs w:val="22"/>
        </w:rPr>
        <w:t xml:space="preserve"> </w:t>
      </w:r>
      <w:proofErr w:type="gramStart"/>
      <w:r w:rsidR="00CD2B08" w:rsidRPr="0083451B">
        <w:rPr>
          <w:rFonts w:ascii="Verdana" w:hAnsi="Verdana"/>
          <w:sz w:val="22"/>
          <w:szCs w:val="22"/>
        </w:rPr>
        <w:t>for the purpose of</w:t>
      </w:r>
      <w:proofErr w:type="gramEnd"/>
      <w:r w:rsidR="00CD2B08" w:rsidRPr="0083451B">
        <w:rPr>
          <w:rFonts w:ascii="Verdana" w:hAnsi="Verdana"/>
          <w:sz w:val="22"/>
          <w:szCs w:val="22"/>
        </w:rPr>
        <w:t xml:space="preserve"> participating in this bidding</w:t>
      </w:r>
      <w:r w:rsidR="006E08F9" w:rsidRPr="0083451B">
        <w:rPr>
          <w:rFonts w:ascii="Verdana" w:hAnsi="Verdana"/>
          <w:sz w:val="22"/>
          <w:szCs w:val="22"/>
        </w:rPr>
        <w:t xml:space="preserve">, </w:t>
      </w:r>
      <w:r w:rsidR="00CD2B08">
        <w:rPr>
          <w:rFonts w:ascii="Verdana" w:hAnsi="Verdana"/>
          <w:sz w:val="22"/>
          <w:szCs w:val="22"/>
        </w:rPr>
        <w:t xml:space="preserve">it </w:t>
      </w:r>
      <w:r w:rsidR="006E08F9" w:rsidRPr="0083451B">
        <w:rPr>
          <w:rFonts w:ascii="Verdana" w:hAnsi="Verdana"/>
          <w:sz w:val="22"/>
          <w:szCs w:val="22"/>
        </w:rPr>
        <w:t xml:space="preserve">must be evidenced by an agreement showing that their </w:t>
      </w:r>
      <w:r w:rsidR="00FE6C3E" w:rsidRPr="0083451B">
        <w:rPr>
          <w:rFonts w:ascii="Verdana" w:hAnsi="Verdana"/>
          <w:sz w:val="22"/>
          <w:szCs w:val="22"/>
        </w:rPr>
        <w:t xml:space="preserve">rights </w:t>
      </w:r>
      <w:r w:rsidR="00802C80" w:rsidRPr="0083451B">
        <w:rPr>
          <w:rFonts w:ascii="Verdana" w:hAnsi="Verdana"/>
          <w:sz w:val="22"/>
          <w:szCs w:val="22"/>
        </w:rPr>
        <w:t xml:space="preserve">and </w:t>
      </w:r>
      <w:r w:rsidR="00FE6C3E" w:rsidRPr="0083451B">
        <w:rPr>
          <w:rFonts w:ascii="Verdana" w:hAnsi="Verdana"/>
          <w:sz w:val="22"/>
          <w:szCs w:val="22"/>
        </w:rPr>
        <w:t>obligations</w:t>
      </w:r>
      <w:r w:rsidR="00802C80" w:rsidRPr="0083451B">
        <w:rPr>
          <w:rFonts w:ascii="Verdana" w:hAnsi="Verdana"/>
          <w:sz w:val="22"/>
          <w:szCs w:val="22"/>
        </w:rPr>
        <w:t xml:space="preserve">, including </w:t>
      </w:r>
      <w:r w:rsidR="006E08F9" w:rsidRPr="0083451B">
        <w:rPr>
          <w:rFonts w:ascii="Verdana" w:hAnsi="Verdana"/>
          <w:sz w:val="22"/>
          <w:szCs w:val="22"/>
        </w:rPr>
        <w:t>liabilit</w:t>
      </w:r>
      <w:r w:rsidR="00FE6C3E" w:rsidRPr="0083451B">
        <w:rPr>
          <w:rFonts w:ascii="Verdana" w:hAnsi="Verdana"/>
          <w:sz w:val="22"/>
          <w:szCs w:val="22"/>
        </w:rPr>
        <w:t>ies</w:t>
      </w:r>
      <w:r w:rsidR="006E08F9" w:rsidRPr="0083451B">
        <w:rPr>
          <w:rFonts w:ascii="Verdana" w:hAnsi="Verdana"/>
          <w:sz w:val="22"/>
          <w:szCs w:val="22"/>
        </w:rPr>
        <w:t xml:space="preserve"> in this Bidding and the resulting </w:t>
      </w:r>
      <w:r w:rsidR="009631DF" w:rsidRPr="0083451B">
        <w:rPr>
          <w:rFonts w:ascii="Verdana" w:hAnsi="Verdana"/>
          <w:sz w:val="22"/>
          <w:szCs w:val="22"/>
        </w:rPr>
        <w:t>Power Supply Agreement</w:t>
      </w:r>
      <w:r w:rsidR="006E08F9" w:rsidRPr="0083451B">
        <w:rPr>
          <w:rFonts w:ascii="Verdana" w:hAnsi="Verdana"/>
          <w:sz w:val="22"/>
          <w:szCs w:val="22"/>
        </w:rPr>
        <w:t xml:space="preserve"> </w:t>
      </w:r>
      <w:r w:rsidR="00FE6C3E" w:rsidRPr="0083451B">
        <w:rPr>
          <w:rFonts w:ascii="Verdana" w:hAnsi="Verdana"/>
          <w:sz w:val="22"/>
          <w:szCs w:val="22"/>
        </w:rPr>
        <w:t>are</w:t>
      </w:r>
      <w:r w:rsidR="00D45251" w:rsidRPr="0083451B">
        <w:rPr>
          <w:rFonts w:ascii="Verdana" w:hAnsi="Verdana"/>
          <w:sz w:val="22"/>
          <w:szCs w:val="22"/>
        </w:rPr>
        <w:t xml:space="preserve"> solidary;</w:t>
      </w:r>
      <w:r w:rsidR="006E08F9" w:rsidRPr="0083451B">
        <w:rPr>
          <w:rFonts w:ascii="Verdana" w:hAnsi="Verdana"/>
          <w:sz w:val="22"/>
          <w:szCs w:val="22"/>
        </w:rPr>
        <w:t xml:space="preserve"> </w:t>
      </w:r>
    </w:p>
    <w:p w14:paraId="4BD89AED" w14:textId="77777777" w:rsidR="00710E49" w:rsidRPr="0083451B" w:rsidRDefault="00710E49" w:rsidP="00710E49">
      <w:pPr>
        <w:pStyle w:val="ListParagraph"/>
        <w:ind w:left="0"/>
        <w:rPr>
          <w:rFonts w:ascii="Verdana" w:hAnsi="Verdana"/>
          <w:bCs/>
          <w:iCs/>
          <w:sz w:val="22"/>
          <w:szCs w:val="22"/>
          <w:lang w:val="en-PH"/>
        </w:rPr>
      </w:pPr>
    </w:p>
    <w:p w14:paraId="4FBC64C4" w14:textId="37ECC0FF" w:rsidR="00710E49" w:rsidRPr="0083451B" w:rsidRDefault="00710E49" w:rsidP="00710E49">
      <w:pPr>
        <w:pStyle w:val="ListParagraph"/>
        <w:numPr>
          <w:ilvl w:val="2"/>
          <w:numId w:val="1"/>
        </w:numPr>
        <w:overflowPunct w:val="0"/>
        <w:autoSpaceDE w:val="0"/>
        <w:autoSpaceDN w:val="0"/>
        <w:adjustRightInd w:val="0"/>
        <w:spacing w:line="240" w:lineRule="atLeast"/>
        <w:ind w:left="720"/>
        <w:textAlignment w:val="baseline"/>
        <w:rPr>
          <w:rFonts w:ascii="Verdana" w:eastAsia="Calibri" w:hAnsi="Verdana"/>
          <w:sz w:val="22"/>
          <w:szCs w:val="22"/>
          <w:lang w:eastAsia="en-US"/>
        </w:rPr>
      </w:pPr>
      <w:r w:rsidRPr="0083451B">
        <w:rPr>
          <w:rFonts w:ascii="Verdana" w:hAnsi="Verdana"/>
          <w:sz w:val="22"/>
          <w:szCs w:val="22"/>
        </w:rPr>
        <w:t xml:space="preserve">The </w:t>
      </w:r>
      <w:r w:rsidRPr="0083451B">
        <w:rPr>
          <w:rFonts w:ascii="Verdana" w:hAnsi="Verdana"/>
          <w:sz w:val="22"/>
          <w:szCs w:val="22"/>
          <w:lang w:val="en-AU"/>
        </w:rPr>
        <w:t>Bidder and any of its Affiliates</w:t>
      </w:r>
      <w:r w:rsidR="00802C80" w:rsidRPr="0083451B">
        <w:rPr>
          <w:rFonts w:ascii="Verdana" w:hAnsi="Verdana"/>
          <w:sz w:val="22"/>
          <w:szCs w:val="22"/>
          <w:lang w:val="en-AU"/>
        </w:rPr>
        <w:t xml:space="preserve"> engaged</w:t>
      </w:r>
      <w:r w:rsidRPr="0083451B">
        <w:rPr>
          <w:rFonts w:ascii="Verdana" w:hAnsi="Verdana"/>
          <w:sz w:val="22"/>
          <w:szCs w:val="22"/>
          <w:lang w:val="en-AU"/>
        </w:rPr>
        <w:t xml:space="preserve"> </w:t>
      </w:r>
      <w:r w:rsidR="00802C80" w:rsidRPr="0083451B">
        <w:rPr>
          <w:rFonts w:ascii="Verdana" w:hAnsi="Verdana"/>
          <w:sz w:val="22"/>
          <w:szCs w:val="22"/>
          <w:lang w:val="en-AU"/>
        </w:rPr>
        <w:t xml:space="preserve">in power generation </w:t>
      </w:r>
      <w:r w:rsidRPr="0083451B">
        <w:rPr>
          <w:rFonts w:ascii="Verdana" w:hAnsi="Verdana"/>
          <w:sz w:val="22"/>
          <w:szCs w:val="22"/>
        </w:rPr>
        <w:t xml:space="preserve">must have no record of Unsatisfactory Performance.  For this purpose, </w:t>
      </w:r>
      <w:r w:rsidRPr="0083451B">
        <w:rPr>
          <w:rFonts w:ascii="Verdana" w:eastAsiaTheme="minorHAnsi" w:hAnsi="Verdana"/>
          <w:sz w:val="22"/>
          <w:szCs w:val="22"/>
          <w:lang w:eastAsia="en-US"/>
        </w:rPr>
        <w:t>“</w:t>
      </w:r>
      <w:r w:rsidRPr="0083451B">
        <w:rPr>
          <w:rFonts w:ascii="Verdana" w:eastAsiaTheme="minorHAnsi" w:hAnsi="Verdana"/>
          <w:b/>
          <w:sz w:val="22"/>
          <w:szCs w:val="22"/>
          <w:u w:val="single"/>
          <w:lang w:eastAsia="en-US"/>
        </w:rPr>
        <w:t>Unsatisfactory Performance</w:t>
      </w:r>
      <w:r w:rsidRPr="0083451B">
        <w:rPr>
          <w:rFonts w:ascii="Verdana" w:eastAsiaTheme="minorHAnsi" w:hAnsi="Verdana"/>
          <w:sz w:val="22"/>
          <w:szCs w:val="22"/>
          <w:lang w:eastAsia="en-US"/>
        </w:rPr>
        <w:t>”</w:t>
      </w:r>
      <w:r w:rsidRPr="0083451B">
        <w:rPr>
          <w:rFonts w:ascii="Verdana" w:eastAsiaTheme="minorHAnsi" w:hAnsi="Verdana"/>
          <w:i/>
          <w:sz w:val="22"/>
          <w:szCs w:val="22"/>
          <w:lang w:eastAsia="en-US"/>
        </w:rPr>
        <w:t xml:space="preserve"> </w:t>
      </w:r>
      <w:r w:rsidRPr="0083451B">
        <w:rPr>
          <w:rFonts w:ascii="Verdana" w:eastAsiaTheme="minorHAnsi" w:hAnsi="Verdana"/>
          <w:sz w:val="22"/>
          <w:szCs w:val="22"/>
          <w:lang w:eastAsia="en-US"/>
        </w:rPr>
        <w:t xml:space="preserve">means any of the following: </w:t>
      </w:r>
    </w:p>
    <w:p w14:paraId="097297E9" w14:textId="77777777" w:rsidR="00710E49" w:rsidRPr="0083451B" w:rsidRDefault="00710E49" w:rsidP="00710E49">
      <w:pPr>
        <w:widowControl w:val="0"/>
        <w:tabs>
          <w:tab w:val="left" w:pos="1440"/>
        </w:tabs>
        <w:autoSpaceDE w:val="0"/>
        <w:autoSpaceDN w:val="0"/>
        <w:adjustRightInd w:val="0"/>
        <w:ind w:left="630"/>
        <w:rPr>
          <w:rFonts w:ascii="Verdana" w:eastAsia="Times New Roman" w:hAnsi="Verdana"/>
          <w:b/>
          <w:i/>
          <w:sz w:val="22"/>
          <w:szCs w:val="22"/>
          <w:lang w:eastAsia="en-US"/>
        </w:rPr>
      </w:pPr>
    </w:p>
    <w:p w14:paraId="0C3A7DEB" w14:textId="4E7A0B3D" w:rsidR="00710E49" w:rsidRPr="0083451B" w:rsidRDefault="00710E49" w:rsidP="00710E49">
      <w:pPr>
        <w:pStyle w:val="ListParagraph"/>
        <w:widowControl w:val="0"/>
        <w:numPr>
          <w:ilvl w:val="0"/>
          <w:numId w:val="4"/>
        </w:numPr>
        <w:overflowPunct w:val="0"/>
        <w:autoSpaceDE w:val="0"/>
        <w:autoSpaceDN w:val="0"/>
        <w:adjustRightInd w:val="0"/>
        <w:spacing w:line="240" w:lineRule="atLeast"/>
        <w:ind w:left="2160" w:right="41" w:hanging="720"/>
        <w:textAlignment w:val="baseline"/>
        <w:rPr>
          <w:rFonts w:ascii="Verdana" w:eastAsia="Times New Roman" w:hAnsi="Verdana" w:cs="Arial"/>
          <w:sz w:val="22"/>
          <w:szCs w:val="22"/>
          <w:lang w:val="fil-PH" w:eastAsia="en-US"/>
        </w:rPr>
      </w:pPr>
      <w:r w:rsidRPr="0083451B">
        <w:rPr>
          <w:rFonts w:ascii="Verdana" w:eastAsia="Times New Roman" w:hAnsi="Verdana" w:cs="Arial"/>
          <w:sz w:val="22"/>
          <w:szCs w:val="22"/>
          <w:lang w:val="fil-PH" w:eastAsia="en-US"/>
        </w:rPr>
        <w:t xml:space="preserve">in relation to any project or contract that was commenced or in the process of implementation within the last five (5) years prior to the </w:t>
      </w:r>
      <w:r w:rsidR="0030050E" w:rsidRPr="0083451B">
        <w:rPr>
          <w:rFonts w:ascii="Verdana" w:eastAsia="Times New Roman" w:hAnsi="Verdana" w:cs="Arial"/>
          <w:sz w:val="22"/>
          <w:szCs w:val="22"/>
          <w:lang w:val="fil-PH" w:eastAsia="en-US"/>
        </w:rPr>
        <w:t xml:space="preserve">Bid </w:t>
      </w:r>
      <w:r w:rsidRPr="0083451B">
        <w:rPr>
          <w:rFonts w:ascii="Verdana" w:eastAsia="Times New Roman" w:hAnsi="Verdana" w:cs="Arial"/>
          <w:sz w:val="22"/>
          <w:szCs w:val="22"/>
          <w:lang w:val="fil-PH" w:eastAsia="en-US"/>
        </w:rPr>
        <w:t xml:space="preserve">Submission Deadline (as defined below) by the Bidder – </w:t>
      </w:r>
    </w:p>
    <w:p w14:paraId="3AFD63A8" w14:textId="77777777" w:rsidR="00710E49" w:rsidRPr="0083451B" w:rsidRDefault="00710E49" w:rsidP="00710E49">
      <w:pPr>
        <w:widowControl w:val="0"/>
        <w:autoSpaceDE w:val="0"/>
        <w:autoSpaceDN w:val="0"/>
        <w:adjustRightInd w:val="0"/>
        <w:ind w:right="41"/>
        <w:rPr>
          <w:rFonts w:ascii="Verdana" w:eastAsia="Times New Roman" w:hAnsi="Verdana" w:cs="Arial"/>
          <w:sz w:val="22"/>
          <w:szCs w:val="22"/>
          <w:lang w:val="fil-PH" w:eastAsia="en-US"/>
        </w:rPr>
      </w:pPr>
    </w:p>
    <w:p w14:paraId="25E50238" w14:textId="77777777" w:rsidR="00710E49" w:rsidRPr="0083451B" w:rsidRDefault="00710E49" w:rsidP="00710E49">
      <w:pPr>
        <w:pStyle w:val="ListParagraph"/>
        <w:widowControl w:val="0"/>
        <w:numPr>
          <w:ilvl w:val="0"/>
          <w:numId w:val="5"/>
        </w:numPr>
        <w:tabs>
          <w:tab w:val="left" w:pos="1701"/>
        </w:tabs>
        <w:overflowPunct w:val="0"/>
        <w:autoSpaceDE w:val="0"/>
        <w:autoSpaceDN w:val="0"/>
        <w:adjustRightInd w:val="0"/>
        <w:spacing w:line="240" w:lineRule="atLeast"/>
        <w:ind w:left="2880" w:right="41"/>
        <w:textAlignment w:val="baseline"/>
        <w:rPr>
          <w:rFonts w:ascii="Verdana" w:eastAsia="Times New Roman" w:hAnsi="Verdana" w:cs="Arial"/>
          <w:sz w:val="22"/>
          <w:szCs w:val="22"/>
          <w:lang w:eastAsia="en-US"/>
        </w:rPr>
      </w:pPr>
      <w:r w:rsidRPr="0083451B">
        <w:rPr>
          <w:rFonts w:ascii="Verdana" w:eastAsia="Times New Roman" w:hAnsi="Verdana" w:cs="Arial"/>
          <w:sz w:val="22"/>
          <w:szCs w:val="22"/>
          <w:lang w:eastAsia="en-US"/>
        </w:rPr>
        <w:t>the failure by the Bidder to satisfactorily perform any of its material obligations for such project or contract, as evidenced by the imposition of a judicial pronouncement or arbitration award;</w:t>
      </w:r>
    </w:p>
    <w:p w14:paraId="5D92DE2E" w14:textId="77777777" w:rsidR="00710E49" w:rsidRPr="0083451B" w:rsidRDefault="00710E49" w:rsidP="00710E49">
      <w:pPr>
        <w:widowControl w:val="0"/>
        <w:tabs>
          <w:tab w:val="left" w:pos="1701"/>
        </w:tabs>
        <w:ind w:left="2880" w:right="41" w:hanging="720"/>
        <w:rPr>
          <w:rFonts w:ascii="Verdana" w:eastAsia="Times New Roman" w:hAnsi="Verdana" w:cs="Arial"/>
          <w:sz w:val="22"/>
          <w:szCs w:val="22"/>
          <w:lang w:eastAsia="en-US"/>
        </w:rPr>
      </w:pPr>
    </w:p>
    <w:p w14:paraId="6662819F" w14:textId="6B36142B" w:rsidR="00710E49" w:rsidRPr="0083451B" w:rsidRDefault="00710E49" w:rsidP="00710E49">
      <w:pPr>
        <w:widowControl w:val="0"/>
        <w:numPr>
          <w:ilvl w:val="0"/>
          <w:numId w:val="5"/>
        </w:numPr>
        <w:tabs>
          <w:tab w:val="left" w:pos="1701"/>
        </w:tabs>
        <w:overflowPunct w:val="0"/>
        <w:autoSpaceDE w:val="0"/>
        <w:autoSpaceDN w:val="0"/>
        <w:adjustRightInd w:val="0"/>
        <w:spacing w:line="240" w:lineRule="atLeast"/>
        <w:ind w:left="2880" w:right="41"/>
        <w:textAlignment w:val="baseline"/>
        <w:rPr>
          <w:rFonts w:ascii="Verdana" w:eastAsia="Times New Roman" w:hAnsi="Verdana" w:cs="Arial"/>
          <w:sz w:val="22"/>
          <w:szCs w:val="22"/>
          <w:lang w:eastAsia="en-US"/>
        </w:rPr>
      </w:pPr>
      <w:r w:rsidRPr="0083451B">
        <w:rPr>
          <w:rFonts w:ascii="Verdana" w:eastAsia="Times New Roman" w:hAnsi="Verdana" w:cs="Arial"/>
          <w:sz w:val="22"/>
          <w:szCs w:val="22"/>
          <w:lang w:eastAsia="en-US"/>
        </w:rPr>
        <w:t xml:space="preserve">the expulsion </w:t>
      </w:r>
      <w:r w:rsidR="003069CA" w:rsidRPr="0083451B">
        <w:rPr>
          <w:rFonts w:ascii="Verdana" w:eastAsia="Times New Roman" w:hAnsi="Verdana" w:cs="Arial"/>
          <w:sz w:val="22"/>
          <w:szCs w:val="22"/>
          <w:lang w:eastAsia="en-US"/>
        </w:rPr>
        <w:t xml:space="preserve">of </w:t>
      </w:r>
      <w:r w:rsidRPr="0083451B">
        <w:rPr>
          <w:rFonts w:ascii="Verdana" w:eastAsia="Times New Roman" w:hAnsi="Verdana" w:cs="Arial"/>
          <w:sz w:val="22"/>
          <w:szCs w:val="22"/>
          <w:lang w:eastAsia="en-US"/>
        </w:rPr>
        <w:t>the Bidder from any such project or contract;</w:t>
      </w:r>
    </w:p>
    <w:p w14:paraId="6C1394B7" w14:textId="77777777" w:rsidR="00710E49" w:rsidRPr="0083451B" w:rsidRDefault="00710E49" w:rsidP="00710E49">
      <w:pPr>
        <w:widowControl w:val="0"/>
        <w:tabs>
          <w:tab w:val="left" w:pos="1701"/>
        </w:tabs>
        <w:ind w:left="2880" w:right="41" w:hanging="720"/>
        <w:rPr>
          <w:rFonts w:ascii="Verdana" w:eastAsia="Times New Roman" w:hAnsi="Verdana" w:cs="Arial"/>
          <w:sz w:val="22"/>
          <w:szCs w:val="22"/>
          <w:lang w:eastAsia="en-US"/>
        </w:rPr>
      </w:pPr>
    </w:p>
    <w:p w14:paraId="463D1628" w14:textId="2C30742D" w:rsidR="00710E49" w:rsidRPr="0083451B" w:rsidRDefault="00710E49" w:rsidP="00710E49">
      <w:pPr>
        <w:widowControl w:val="0"/>
        <w:numPr>
          <w:ilvl w:val="0"/>
          <w:numId w:val="5"/>
        </w:numPr>
        <w:tabs>
          <w:tab w:val="left" w:pos="1701"/>
        </w:tabs>
        <w:overflowPunct w:val="0"/>
        <w:autoSpaceDE w:val="0"/>
        <w:autoSpaceDN w:val="0"/>
        <w:adjustRightInd w:val="0"/>
        <w:spacing w:line="240" w:lineRule="atLeast"/>
        <w:ind w:left="2880" w:right="41"/>
        <w:textAlignment w:val="baseline"/>
        <w:rPr>
          <w:rFonts w:ascii="Verdana" w:eastAsia="Times New Roman" w:hAnsi="Verdana" w:cs="Arial"/>
          <w:sz w:val="22"/>
          <w:szCs w:val="22"/>
          <w:lang w:eastAsia="en-US"/>
        </w:rPr>
      </w:pPr>
      <w:r w:rsidRPr="0083451B">
        <w:rPr>
          <w:rFonts w:ascii="Verdana" w:eastAsia="Times New Roman" w:hAnsi="Verdana" w:cs="Arial"/>
          <w:sz w:val="22"/>
          <w:szCs w:val="22"/>
          <w:lang w:eastAsia="en-US"/>
        </w:rPr>
        <w:t xml:space="preserve">the termination or suspension of any such project or contract due to the Bidder’s </w:t>
      </w:r>
      <w:r w:rsidR="006F05F7" w:rsidRPr="0083451B">
        <w:rPr>
          <w:rFonts w:ascii="Verdana" w:eastAsia="Times New Roman" w:hAnsi="Verdana" w:cs="Arial"/>
          <w:sz w:val="22"/>
          <w:szCs w:val="22"/>
          <w:lang w:eastAsia="en-US"/>
        </w:rPr>
        <w:t xml:space="preserve">willful </w:t>
      </w:r>
      <w:r w:rsidR="001E4011" w:rsidRPr="0083451B">
        <w:rPr>
          <w:rFonts w:ascii="Verdana" w:eastAsia="Times New Roman" w:hAnsi="Verdana" w:cs="Arial"/>
          <w:sz w:val="22"/>
          <w:szCs w:val="22"/>
          <w:lang w:eastAsia="en-US"/>
        </w:rPr>
        <w:t xml:space="preserve">breach </w:t>
      </w:r>
      <w:r w:rsidRPr="0083451B">
        <w:rPr>
          <w:rFonts w:ascii="Verdana" w:eastAsia="Times New Roman" w:hAnsi="Verdana" w:cs="Arial"/>
          <w:sz w:val="22"/>
          <w:szCs w:val="22"/>
          <w:lang w:eastAsia="en-US"/>
        </w:rPr>
        <w:t xml:space="preserve">of its obligations; or </w:t>
      </w:r>
    </w:p>
    <w:p w14:paraId="3087E91B" w14:textId="77777777" w:rsidR="00710E49" w:rsidRPr="0083451B" w:rsidRDefault="00710E49" w:rsidP="00710E49">
      <w:pPr>
        <w:widowControl w:val="0"/>
        <w:tabs>
          <w:tab w:val="left" w:pos="1701"/>
        </w:tabs>
        <w:ind w:left="2880" w:right="41" w:hanging="720"/>
        <w:rPr>
          <w:rFonts w:ascii="Verdana" w:eastAsia="Times New Roman" w:hAnsi="Verdana" w:cs="Arial"/>
          <w:sz w:val="22"/>
          <w:szCs w:val="22"/>
          <w:lang w:eastAsia="en-US"/>
        </w:rPr>
      </w:pPr>
    </w:p>
    <w:p w14:paraId="69066BDA" w14:textId="033695BC" w:rsidR="00710E49" w:rsidRPr="0083451B" w:rsidRDefault="00710E49" w:rsidP="00710E49">
      <w:pPr>
        <w:widowControl w:val="0"/>
        <w:numPr>
          <w:ilvl w:val="0"/>
          <w:numId w:val="5"/>
        </w:numPr>
        <w:tabs>
          <w:tab w:val="left" w:pos="1701"/>
        </w:tabs>
        <w:overflowPunct w:val="0"/>
        <w:autoSpaceDE w:val="0"/>
        <w:autoSpaceDN w:val="0"/>
        <w:adjustRightInd w:val="0"/>
        <w:spacing w:line="240" w:lineRule="atLeast"/>
        <w:ind w:left="2880" w:right="41"/>
        <w:textAlignment w:val="baseline"/>
        <w:rPr>
          <w:rFonts w:ascii="Verdana" w:eastAsia="Times New Roman" w:hAnsi="Verdana" w:cs="Arial"/>
          <w:sz w:val="22"/>
          <w:szCs w:val="22"/>
          <w:lang w:eastAsia="en-US"/>
        </w:rPr>
      </w:pPr>
      <w:r w:rsidRPr="0083451B">
        <w:rPr>
          <w:rFonts w:ascii="Verdana" w:eastAsia="Times New Roman" w:hAnsi="Verdana" w:cs="Arial"/>
          <w:sz w:val="22"/>
          <w:szCs w:val="22"/>
          <w:lang w:eastAsia="en-US"/>
        </w:rPr>
        <w:t>material violation of laws and/or regulations</w:t>
      </w:r>
      <w:r w:rsidR="006F05F7" w:rsidRPr="0083451B">
        <w:rPr>
          <w:rFonts w:ascii="Verdana" w:eastAsia="Times New Roman" w:hAnsi="Verdana" w:cs="Arial"/>
          <w:sz w:val="22"/>
          <w:szCs w:val="22"/>
          <w:lang w:eastAsia="en-US"/>
        </w:rPr>
        <w:t xml:space="preserve"> by the Bidder</w:t>
      </w:r>
      <w:r w:rsidRPr="0083451B">
        <w:rPr>
          <w:rFonts w:ascii="Verdana" w:eastAsia="Times New Roman" w:hAnsi="Verdana" w:cs="Arial"/>
          <w:sz w:val="22"/>
          <w:szCs w:val="22"/>
          <w:lang w:eastAsia="en-US"/>
        </w:rPr>
        <w:t xml:space="preserve"> applicable to any such projects or contracts, including but not limited to environmental, health, safety, labor and social welfare laws and regulations, as evidenced by findings of the relevant competent authority; or </w:t>
      </w:r>
    </w:p>
    <w:p w14:paraId="36646921" w14:textId="77777777" w:rsidR="00710E49" w:rsidRPr="0083451B" w:rsidRDefault="00710E49" w:rsidP="00710E49">
      <w:pPr>
        <w:widowControl w:val="0"/>
        <w:tabs>
          <w:tab w:val="left" w:pos="1701"/>
        </w:tabs>
        <w:autoSpaceDE w:val="0"/>
        <w:autoSpaceDN w:val="0"/>
        <w:adjustRightInd w:val="0"/>
        <w:ind w:right="41"/>
        <w:rPr>
          <w:rFonts w:ascii="Verdana" w:eastAsia="Times New Roman" w:hAnsi="Verdana" w:cs="Arial"/>
          <w:sz w:val="22"/>
          <w:szCs w:val="22"/>
          <w:lang w:eastAsia="en-US"/>
        </w:rPr>
      </w:pPr>
    </w:p>
    <w:p w14:paraId="4521F626" w14:textId="77777777" w:rsidR="00710E49" w:rsidRPr="0083451B" w:rsidRDefault="00710E49" w:rsidP="00710E49">
      <w:pPr>
        <w:pStyle w:val="ListParagraph"/>
        <w:widowControl w:val="0"/>
        <w:numPr>
          <w:ilvl w:val="0"/>
          <w:numId w:val="4"/>
        </w:numPr>
        <w:overflowPunct w:val="0"/>
        <w:autoSpaceDE w:val="0"/>
        <w:autoSpaceDN w:val="0"/>
        <w:adjustRightInd w:val="0"/>
        <w:spacing w:line="240" w:lineRule="atLeast"/>
        <w:ind w:left="2160" w:right="41" w:hanging="720"/>
        <w:textAlignment w:val="baseline"/>
        <w:rPr>
          <w:rFonts w:ascii="Verdana" w:hAnsi="Verdana"/>
          <w:bCs/>
          <w:iCs/>
          <w:sz w:val="22"/>
          <w:szCs w:val="22"/>
          <w:lang w:val="en-PH"/>
        </w:rPr>
      </w:pPr>
      <w:r w:rsidRPr="0083451B">
        <w:rPr>
          <w:rFonts w:ascii="Verdana" w:eastAsia="Times New Roman" w:hAnsi="Verdana" w:cs="Arial"/>
          <w:sz w:val="22"/>
          <w:szCs w:val="22"/>
          <w:lang w:val="fil-PH" w:eastAsia="en-US"/>
        </w:rPr>
        <w:t>Inclusion in a blacklist issued by any governmental agency of the Philippines or in the Debarred and Cross-Debarred Firms &amp; Individuals list posted in the World Bank website (</w:t>
      </w:r>
      <w:r w:rsidR="00694987">
        <w:fldChar w:fldCharType="begin"/>
      </w:r>
      <w:r w:rsidR="00694987">
        <w:instrText xml:space="preserve"> HYPERLINK "http://www.worldbank.org/debarr" </w:instrText>
      </w:r>
      <w:r w:rsidR="00694987">
        <w:fldChar w:fldCharType="separate"/>
      </w:r>
      <w:r w:rsidRPr="0083451B">
        <w:rPr>
          <w:rFonts w:ascii="Verdana" w:eastAsia="Times New Roman" w:hAnsi="Verdana" w:cs="Arial"/>
          <w:i/>
          <w:sz w:val="22"/>
          <w:szCs w:val="22"/>
          <w:u w:val="single"/>
          <w:lang w:val="fil-PH" w:eastAsia="en-US"/>
        </w:rPr>
        <w:t>www.worldbank.org/debarr</w:t>
      </w:r>
      <w:r w:rsidR="00694987">
        <w:rPr>
          <w:rFonts w:ascii="Verdana" w:eastAsia="Times New Roman" w:hAnsi="Verdana" w:cs="Arial"/>
          <w:i/>
          <w:sz w:val="22"/>
          <w:szCs w:val="22"/>
          <w:u w:val="single"/>
          <w:lang w:val="fil-PH" w:eastAsia="en-US"/>
        </w:rPr>
        <w:fldChar w:fldCharType="end"/>
      </w:r>
      <w:r w:rsidRPr="0083451B">
        <w:rPr>
          <w:rFonts w:ascii="Verdana" w:eastAsia="Times New Roman" w:hAnsi="Verdana" w:cs="Arial"/>
          <w:sz w:val="22"/>
          <w:szCs w:val="22"/>
          <w:lang w:val="fil-PH" w:eastAsia="en-US"/>
        </w:rPr>
        <w:t>), whether as an individual contractor, partnership or corporation or as a member of a joint venture or consortium.</w:t>
      </w:r>
    </w:p>
    <w:p w14:paraId="42ECDD81" w14:textId="77777777" w:rsidR="00710E49" w:rsidRPr="0083451B" w:rsidRDefault="00710E49" w:rsidP="00710E49">
      <w:pPr>
        <w:pStyle w:val="ListParagraph"/>
        <w:rPr>
          <w:rFonts w:ascii="Verdana" w:hAnsi="Verdana"/>
          <w:bCs/>
          <w:iCs/>
          <w:sz w:val="22"/>
          <w:szCs w:val="22"/>
          <w:lang w:val="en-PH"/>
        </w:rPr>
      </w:pPr>
    </w:p>
    <w:p w14:paraId="7304DA75" w14:textId="61DEE4A2" w:rsidR="00771C7B" w:rsidRPr="0083451B" w:rsidRDefault="00710E49" w:rsidP="0083451B">
      <w:pPr>
        <w:pStyle w:val="ListParagraph"/>
        <w:numPr>
          <w:ilvl w:val="2"/>
          <w:numId w:val="1"/>
        </w:numPr>
        <w:ind w:left="720"/>
        <w:rPr>
          <w:sz w:val="22"/>
          <w:szCs w:val="22"/>
          <w:lang w:val="en-PH"/>
        </w:rPr>
      </w:pPr>
      <w:r w:rsidRPr="0083451B">
        <w:rPr>
          <w:rFonts w:ascii="Verdana" w:hAnsi="Verdana"/>
          <w:bCs/>
          <w:iCs/>
          <w:sz w:val="22"/>
          <w:szCs w:val="22"/>
          <w:lang w:val="en-PH"/>
        </w:rPr>
        <w:t>The Bidder and any of its Affiliates</w:t>
      </w:r>
      <w:r w:rsidR="00802C80" w:rsidRPr="0083451B">
        <w:rPr>
          <w:rFonts w:ascii="Verdana" w:hAnsi="Verdana"/>
          <w:bCs/>
          <w:iCs/>
          <w:sz w:val="22"/>
          <w:szCs w:val="22"/>
          <w:lang w:val="en-PH"/>
        </w:rPr>
        <w:t xml:space="preserve"> engaged in power generation</w:t>
      </w:r>
      <w:r w:rsidRPr="0083451B">
        <w:rPr>
          <w:rFonts w:ascii="Verdana" w:hAnsi="Verdana"/>
          <w:bCs/>
          <w:iCs/>
          <w:sz w:val="22"/>
          <w:szCs w:val="22"/>
          <w:lang w:val="en-PH"/>
        </w:rPr>
        <w:t xml:space="preserve"> must not have an Outstanding Dispute or pending/outstanding </w:t>
      </w:r>
      <w:r w:rsidR="00693685" w:rsidRPr="0083451B">
        <w:rPr>
          <w:rFonts w:ascii="Verdana" w:hAnsi="Verdana"/>
          <w:bCs/>
          <w:iCs/>
          <w:sz w:val="22"/>
          <w:szCs w:val="22"/>
          <w:lang w:val="en-PH"/>
        </w:rPr>
        <w:t>due and</w:t>
      </w:r>
      <w:r w:rsidR="00F7499D" w:rsidRPr="0083451B">
        <w:rPr>
          <w:rFonts w:ascii="Verdana" w:hAnsi="Verdana"/>
          <w:bCs/>
          <w:iCs/>
          <w:sz w:val="22"/>
          <w:szCs w:val="22"/>
          <w:lang w:val="en-PH"/>
        </w:rPr>
        <w:t>/or</w:t>
      </w:r>
      <w:r w:rsidR="00693685" w:rsidRPr="0083451B">
        <w:rPr>
          <w:rFonts w:ascii="Verdana" w:hAnsi="Verdana"/>
          <w:bCs/>
          <w:iCs/>
          <w:sz w:val="22"/>
          <w:szCs w:val="22"/>
          <w:lang w:val="en-PH"/>
        </w:rPr>
        <w:t xml:space="preserve"> demandable </w:t>
      </w:r>
      <w:r w:rsidRPr="0083451B">
        <w:rPr>
          <w:rFonts w:ascii="Verdana" w:hAnsi="Verdana"/>
          <w:bCs/>
          <w:iCs/>
          <w:sz w:val="22"/>
          <w:szCs w:val="22"/>
          <w:lang w:val="en-PH"/>
        </w:rPr>
        <w:t>financial obligation/s with Meralco.  For this purpose, “</w:t>
      </w:r>
      <w:r w:rsidRPr="0083451B">
        <w:rPr>
          <w:rFonts w:ascii="Verdana" w:hAnsi="Verdana"/>
          <w:b/>
          <w:bCs/>
          <w:iCs/>
          <w:sz w:val="22"/>
          <w:szCs w:val="22"/>
          <w:u w:val="single"/>
          <w:lang w:val="en-PH"/>
        </w:rPr>
        <w:t>Outstanding Dispute</w:t>
      </w:r>
      <w:r w:rsidRPr="0083451B">
        <w:rPr>
          <w:rFonts w:ascii="Verdana" w:hAnsi="Verdana"/>
          <w:bCs/>
          <w:iCs/>
          <w:sz w:val="22"/>
          <w:szCs w:val="22"/>
          <w:lang w:val="en-PH"/>
        </w:rPr>
        <w:t>” refers to any pending judicial, administrative</w:t>
      </w:r>
      <w:r w:rsidR="00EE07F2" w:rsidRPr="0083451B">
        <w:rPr>
          <w:rFonts w:ascii="Verdana" w:hAnsi="Verdana"/>
          <w:bCs/>
          <w:iCs/>
          <w:sz w:val="22"/>
          <w:szCs w:val="22"/>
          <w:lang w:val="en-PH"/>
        </w:rPr>
        <w:t>, contractual</w:t>
      </w:r>
      <w:r w:rsidRPr="0083451B">
        <w:rPr>
          <w:rFonts w:ascii="Verdana" w:hAnsi="Verdana"/>
          <w:bCs/>
          <w:iCs/>
          <w:sz w:val="22"/>
          <w:szCs w:val="22"/>
          <w:lang w:val="en-PH"/>
        </w:rPr>
        <w:t xml:space="preserve"> or alternative dispute resolution proceeding between the Bidder or any of its Affiliates</w:t>
      </w:r>
      <w:r w:rsidR="004B251E" w:rsidRPr="0083451B">
        <w:rPr>
          <w:rFonts w:ascii="Verdana" w:hAnsi="Verdana"/>
          <w:bCs/>
          <w:iCs/>
          <w:sz w:val="22"/>
          <w:szCs w:val="22"/>
          <w:lang w:val="en-PH"/>
        </w:rPr>
        <w:t xml:space="preserve"> engaged in power generation</w:t>
      </w:r>
      <w:r w:rsidRPr="0083451B">
        <w:rPr>
          <w:rFonts w:ascii="Verdana" w:hAnsi="Verdana"/>
          <w:bCs/>
          <w:iCs/>
          <w:sz w:val="22"/>
          <w:szCs w:val="22"/>
          <w:lang w:val="en-PH"/>
        </w:rPr>
        <w:t xml:space="preserve">, on one </w:t>
      </w:r>
      <w:r w:rsidR="00D45251" w:rsidRPr="0083451B">
        <w:rPr>
          <w:rFonts w:ascii="Verdana" w:hAnsi="Verdana"/>
          <w:bCs/>
          <w:iCs/>
          <w:sz w:val="22"/>
          <w:szCs w:val="22"/>
          <w:lang w:val="en-PH"/>
        </w:rPr>
        <w:t>hand, and Meralco, on the other</w:t>
      </w:r>
      <w:r w:rsidR="00771C7B" w:rsidRPr="0083451B">
        <w:rPr>
          <w:rFonts w:ascii="Verdana" w:hAnsi="Verdana"/>
          <w:bCs/>
          <w:iCs/>
          <w:sz w:val="22"/>
          <w:szCs w:val="22"/>
          <w:lang w:val="en-PH"/>
        </w:rPr>
        <w:t xml:space="preserve">, </w:t>
      </w:r>
      <w:r w:rsidR="00771C7B" w:rsidRPr="0083451B">
        <w:rPr>
          <w:rFonts w:ascii="Verdana" w:hAnsi="Verdana"/>
          <w:color w:val="000000" w:themeColor="text1"/>
          <w:sz w:val="22"/>
          <w:szCs w:val="22"/>
          <w:lang w:val="en-PH"/>
        </w:rPr>
        <w:t>provided that the following pending judicial or administrative cases involving the Bidder or any of its Affiliates and Meralco are excluded from the definition of Outstanding Dispute:</w:t>
      </w:r>
    </w:p>
    <w:p w14:paraId="1C3DA847" w14:textId="77777777" w:rsidR="00771C7B" w:rsidRPr="0083451B" w:rsidRDefault="00771C7B" w:rsidP="00771C7B">
      <w:pPr>
        <w:pStyle w:val="ListParagraph"/>
        <w:rPr>
          <w:rFonts w:ascii="Verdana" w:eastAsia="Calibri" w:hAnsi="Verdana"/>
          <w:color w:val="000000" w:themeColor="text1"/>
          <w:sz w:val="22"/>
          <w:szCs w:val="22"/>
        </w:rPr>
      </w:pPr>
    </w:p>
    <w:tbl>
      <w:tblPr>
        <w:tblW w:w="829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20" w:firstRow="1" w:lastRow="0" w:firstColumn="0" w:lastColumn="0" w:noHBand="0" w:noVBand="1"/>
      </w:tblPr>
      <w:tblGrid>
        <w:gridCol w:w="3740"/>
        <w:gridCol w:w="4555"/>
      </w:tblGrid>
      <w:tr w:rsidR="00771C7B" w:rsidRPr="0083451B" w14:paraId="3F5FA125" w14:textId="77777777" w:rsidTr="006247BD">
        <w:trPr>
          <w:trHeight w:val="469"/>
          <w:jc w:val="right"/>
        </w:trPr>
        <w:tc>
          <w:tcPr>
            <w:tcW w:w="3740" w:type="dxa"/>
            <w:shd w:val="clear" w:color="auto" w:fill="BFBFBF" w:themeFill="background1" w:themeFillShade="BF"/>
            <w:tcMar>
              <w:top w:w="72" w:type="dxa"/>
              <w:left w:w="144" w:type="dxa"/>
              <w:bottom w:w="72" w:type="dxa"/>
              <w:right w:w="144" w:type="dxa"/>
            </w:tcMar>
            <w:hideMark/>
          </w:tcPr>
          <w:p w14:paraId="046D6352" w14:textId="77777777" w:rsidR="00771C7B" w:rsidRPr="0083451B" w:rsidRDefault="00771C7B" w:rsidP="006247BD">
            <w:pPr>
              <w:jc w:val="center"/>
              <w:rPr>
                <w:rFonts w:ascii="Verdana" w:hAnsi="Verdana"/>
                <w:sz w:val="18"/>
                <w:szCs w:val="18"/>
                <w:lang w:val="en-PH"/>
              </w:rPr>
            </w:pPr>
            <w:r w:rsidRPr="0083451B">
              <w:rPr>
                <w:rFonts w:ascii="Verdana" w:hAnsi="Verdana"/>
                <w:b/>
                <w:bCs/>
                <w:sz w:val="18"/>
                <w:szCs w:val="18"/>
                <w:lang w:val="en-PH"/>
              </w:rPr>
              <w:t>Case Title and Docket Nos.</w:t>
            </w:r>
          </w:p>
        </w:tc>
        <w:tc>
          <w:tcPr>
            <w:tcW w:w="4555" w:type="dxa"/>
            <w:shd w:val="clear" w:color="auto" w:fill="BFBFBF" w:themeFill="background1" w:themeFillShade="BF"/>
            <w:tcMar>
              <w:top w:w="72" w:type="dxa"/>
              <w:left w:w="144" w:type="dxa"/>
              <w:bottom w:w="72" w:type="dxa"/>
              <w:right w:w="144" w:type="dxa"/>
            </w:tcMar>
            <w:hideMark/>
          </w:tcPr>
          <w:p w14:paraId="7387E4C0" w14:textId="77777777" w:rsidR="00771C7B" w:rsidRPr="0083451B" w:rsidRDefault="00771C7B" w:rsidP="006247BD">
            <w:pPr>
              <w:jc w:val="center"/>
              <w:rPr>
                <w:rFonts w:ascii="Verdana" w:hAnsi="Verdana"/>
                <w:sz w:val="18"/>
                <w:szCs w:val="18"/>
                <w:lang w:val="en-PH"/>
              </w:rPr>
            </w:pPr>
            <w:r w:rsidRPr="0083451B">
              <w:rPr>
                <w:rFonts w:ascii="Verdana" w:hAnsi="Verdana"/>
                <w:b/>
                <w:bCs/>
                <w:sz w:val="18"/>
                <w:szCs w:val="18"/>
                <w:lang w:val="en-PH"/>
              </w:rPr>
              <w:t>Subject Matter</w:t>
            </w:r>
          </w:p>
        </w:tc>
      </w:tr>
      <w:tr w:rsidR="00771C7B" w:rsidRPr="0083451B" w14:paraId="6C6F3E86" w14:textId="77777777" w:rsidTr="006247BD">
        <w:trPr>
          <w:trHeight w:val="469"/>
          <w:jc w:val="right"/>
        </w:trPr>
        <w:tc>
          <w:tcPr>
            <w:tcW w:w="3740" w:type="dxa"/>
            <w:shd w:val="clear" w:color="auto" w:fill="auto"/>
            <w:tcMar>
              <w:top w:w="72" w:type="dxa"/>
              <w:left w:w="144" w:type="dxa"/>
              <w:bottom w:w="72" w:type="dxa"/>
              <w:right w:w="144" w:type="dxa"/>
            </w:tcMar>
            <w:hideMark/>
          </w:tcPr>
          <w:p w14:paraId="52B5EAF9" w14:textId="339D0411" w:rsidR="00771C7B" w:rsidRPr="0083451B" w:rsidRDefault="00771C7B" w:rsidP="006247BD">
            <w:pPr>
              <w:rPr>
                <w:rFonts w:ascii="Verdana" w:hAnsi="Verdana"/>
                <w:i/>
                <w:sz w:val="18"/>
                <w:szCs w:val="18"/>
                <w:lang w:val="en-PH"/>
              </w:rPr>
            </w:pPr>
            <w:r w:rsidRPr="0083451B">
              <w:rPr>
                <w:rFonts w:ascii="Verdana" w:hAnsi="Verdana"/>
                <w:i/>
                <w:sz w:val="18"/>
                <w:szCs w:val="18"/>
                <w:lang w:val="pt-BR"/>
              </w:rPr>
              <w:t>Bayan Muna, et. al. v.</w:t>
            </w:r>
            <w:bookmarkStart w:id="6" w:name="_GoBack"/>
            <w:r w:rsidR="00387465">
              <w:rPr>
                <w:rFonts w:ascii="Verdana" w:hAnsi="Verdana"/>
                <w:i/>
                <w:sz w:val="18"/>
                <w:szCs w:val="18"/>
                <w:lang w:val="pt-BR"/>
              </w:rPr>
              <w:t xml:space="preserve"> Energy Regulatory Commission (</w:t>
            </w:r>
            <w:bookmarkEnd w:id="6"/>
            <w:r w:rsidRPr="0083451B">
              <w:rPr>
                <w:rFonts w:ascii="Verdana" w:hAnsi="Verdana"/>
                <w:i/>
                <w:sz w:val="18"/>
                <w:szCs w:val="18"/>
                <w:lang w:val="pt-BR"/>
              </w:rPr>
              <w:t>ERC</w:t>
            </w:r>
            <w:r w:rsidR="00387465">
              <w:rPr>
                <w:rFonts w:ascii="Verdana" w:hAnsi="Verdana"/>
                <w:i/>
                <w:sz w:val="18"/>
                <w:szCs w:val="18"/>
                <w:lang w:val="pt-BR"/>
              </w:rPr>
              <w:t>)</w:t>
            </w:r>
            <w:r w:rsidRPr="0083451B">
              <w:rPr>
                <w:rFonts w:ascii="Verdana" w:hAnsi="Verdana"/>
                <w:i/>
                <w:sz w:val="18"/>
                <w:szCs w:val="18"/>
                <w:lang w:val="pt-BR"/>
              </w:rPr>
              <w:t>, et. al.</w:t>
            </w:r>
          </w:p>
          <w:p w14:paraId="280426D4" w14:textId="77777777" w:rsidR="00771C7B" w:rsidRPr="0083451B" w:rsidRDefault="00771C7B" w:rsidP="006247BD">
            <w:pPr>
              <w:rPr>
                <w:rFonts w:ascii="Verdana" w:hAnsi="Verdana"/>
                <w:sz w:val="18"/>
                <w:szCs w:val="18"/>
                <w:lang w:val="en-PH"/>
              </w:rPr>
            </w:pPr>
            <w:r w:rsidRPr="0083451B">
              <w:rPr>
                <w:rFonts w:ascii="Verdana" w:hAnsi="Verdana"/>
                <w:sz w:val="18"/>
                <w:szCs w:val="18"/>
                <w:lang w:val="pt-BR"/>
              </w:rPr>
              <w:t>(G.R. Nos. 210245, 210255 &amp; 210502)</w:t>
            </w:r>
          </w:p>
        </w:tc>
        <w:tc>
          <w:tcPr>
            <w:tcW w:w="4555" w:type="dxa"/>
            <w:shd w:val="clear" w:color="auto" w:fill="auto"/>
            <w:tcMar>
              <w:top w:w="72" w:type="dxa"/>
              <w:left w:w="144" w:type="dxa"/>
              <w:bottom w:w="72" w:type="dxa"/>
              <w:right w:w="144" w:type="dxa"/>
            </w:tcMar>
            <w:hideMark/>
          </w:tcPr>
          <w:p w14:paraId="42525AB9" w14:textId="77777777" w:rsidR="00771C7B" w:rsidRPr="0083451B" w:rsidRDefault="00771C7B" w:rsidP="006247BD">
            <w:pPr>
              <w:rPr>
                <w:rFonts w:ascii="Verdana" w:hAnsi="Verdana"/>
                <w:sz w:val="18"/>
                <w:szCs w:val="18"/>
                <w:lang w:val="en-PH"/>
              </w:rPr>
            </w:pPr>
            <w:r w:rsidRPr="0083451B">
              <w:rPr>
                <w:rFonts w:ascii="Verdana" w:hAnsi="Verdana"/>
                <w:sz w:val="18"/>
                <w:szCs w:val="18"/>
                <w:lang w:val="en-PH"/>
              </w:rPr>
              <w:t>Supreme Court T.R.O. on MERALCO’s December 2013 billing rate increase in relation to the generation cost price spike in November 2013 and December 2013</w:t>
            </w:r>
          </w:p>
        </w:tc>
      </w:tr>
      <w:tr w:rsidR="00771C7B" w:rsidRPr="0083451B" w14:paraId="6110D149" w14:textId="77777777" w:rsidTr="006247BD">
        <w:trPr>
          <w:trHeight w:val="469"/>
          <w:jc w:val="right"/>
        </w:trPr>
        <w:tc>
          <w:tcPr>
            <w:tcW w:w="3740" w:type="dxa"/>
            <w:shd w:val="clear" w:color="auto" w:fill="auto"/>
            <w:tcMar>
              <w:top w:w="72" w:type="dxa"/>
              <w:left w:w="144" w:type="dxa"/>
              <w:bottom w:w="72" w:type="dxa"/>
              <w:right w:w="144" w:type="dxa"/>
            </w:tcMar>
            <w:hideMark/>
          </w:tcPr>
          <w:p w14:paraId="02BE9A49" w14:textId="77777777" w:rsidR="00771C7B" w:rsidRPr="0083451B" w:rsidRDefault="00771C7B" w:rsidP="006247BD">
            <w:pPr>
              <w:rPr>
                <w:rFonts w:ascii="Verdana" w:hAnsi="Verdana"/>
                <w:i/>
                <w:sz w:val="18"/>
                <w:szCs w:val="18"/>
                <w:lang w:val="en-PH"/>
              </w:rPr>
            </w:pPr>
            <w:r w:rsidRPr="0083451B">
              <w:rPr>
                <w:rFonts w:ascii="Verdana" w:hAnsi="Verdana"/>
                <w:i/>
                <w:sz w:val="18"/>
                <w:szCs w:val="18"/>
                <w:lang w:val="nn-NO"/>
              </w:rPr>
              <w:t>SN Aboitiz-Magat, et. al. v. ERC, et. al.</w:t>
            </w:r>
          </w:p>
          <w:p w14:paraId="6531A2E2" w14:textId="77777777" w:rsidR="00771C7B" w:rsidRPr="0083451B" w:rsidRDefault="00771C7B" w:rsidP="006247BD">
            <w:pPr>
              <w:rPr>
                <w:rFonts w:ascii="Verdana" w:hAnsi="Verdana"/>
                <w:sz w:val="18"/>
                <w:szCs w:val="18"/>
                <w:lang w:val="en-PH"/>
              </w:rPr>
            </w:pPr>
            <w:r w:rsidRPr="0083451B">
              <w:rPr>
                <w:rFonts w:ascii="Verdana" w:hAnsi="Verdana"/>
                <w:sz w:val="18"/>
                <w:szCs w:val="18"/>
                <w:lang w:val="nn-NO"/>
              </w:rPr>
              <w:t>(G.R. No. 246641-50, 246729, 246739-48, 246685-94, 246873-82, 246661-70, 246631-40)</w:t>
            </w:r>
          </w:p>
        </w:tc>
        <w:tc>
          <w:tcPr>
            <w:tcW w:w="4555" w:type="dxa"/>
            <w:shd w:val="clear" w:color="auto" w:fill="auto"/>
            <w:tcMar>
              <w:top w:w="72" w:type="dxa"/>
              <w:left w:w="144" w:type="dxa"/>
              <w:bottom w:w="72" w:type="dxa"/>
              <w:right w:w="144" w:type="dxa"/>
            </w:tcMar>
            <w:hideMark/>
          </w:tcPr>
          <w:p w14:paraId="3C429311" w14:textId="77777777" w:rsidR="00771C7B" w:rsidRPr="0083451B" w:rsidRDefault="00771C7B" w:rsidP="006247BD">
            <w:pPr>
              <w:rPr>
                <w:rFonts w:ascii="Verdana" w:hAnsi="Verdana"/>
                <w:sz w:val="18"/>
                <w:szCs w:val="18"/>
                <w:lang w:val="en-PH"/>
              </w:rPr>
            </w:pPr>
            <w:r w:rsidRPr="0083451B">
              <w:rPr>
                <w:rFonts w:ascii="Verdana" w:hAnsi="Verdana"/>
                <w:sz w:val="18"/>
                <w:szCs w:val="18"/>
                <w:lang w:val="en-PH"/>
              </w:rPr>
              <w:t>Supreme Court – Legality of ERC Order voiding the Luzon WESM prices during the November and December 2013 supply months</w:t>
            </w:r>
          </w:p>
        </w:tc>
      </w:tr>
      <w:tr w:rsidR="00771C7B" w:rsidRPr="0083451B" w14:paraId="1DD83F00" w14:textId="77777777" w:rsidTr="006247BD">
        <w:trPr>
          <w:trHeight w:val="469"/>
          <w:jc w:val="right"/>
        </w:trPr>
        <w:tc>
          <w:tcPr>
            <w:tcW w:w="3740" w:type="dxa"/>
            <w:shd w:val="clear" w:color="auto" w:fill="auto"/>
            <w:tcMar>
              <w:top w:w="72" w:type="dxa"/>
              <w:left w:w="144" w:type="dxa"/>
              <w:bottom w:w="72" w:type="dxa"/>
              <w:right w:w="144" w:type="dxa"/>
            </w:tcMar>
            <w:hideMark/>
          </w:tcPr>
          <w:p w14:paraId="5D39BCC0" w14:textId="77777777" w:rsidR="00771C7B" w:rsidRPr="0083451B" w:rsidRDefault="00771C7B" w:rsidP="006247BD">
            <w:pPr>
              <w:rPr>
                <w:rFonts w:ascii="Verdana" w:hAnsi="Verdana"/>
                <w:i/>
                <w:sz w:val="18"/>
                <w:szCs w:val="18"/>
                <w:lang w:val="en-PH"/>
              </w:rPr>
            </w:pPr>
            <w:r w:rsidRPr="0083451B">
              <w:rPr>
                <w:rFonts w:ascii="Verdana" w:hAnsi="Verdana"/>
                <w:i/>
                <w:sz w:val="18"/>
                <w:szCs w:val="18"/>
                <w:lang w:val="en-PH"/>
              </w:rPr>
              <w:t>ERC I.U. v. Meralco and TMO</w:t>
            </w:r>
          </w:p>
          <w:p w14:paraId="0B0B0CC9" w14:textId="77777777" w:rsidR="00771C7B" w:rsidRPr="0083451B" w:rsidRDefault="00771C7B" w:rsidP="006247BD">
            <w:pPr>
              <w:rPr>
                <w:rFonts w:ascii="Verdana" w:hAnsi="Verdana"/>
                <w:sz w:val="18"/>
                <w:szCs w:val="18"/>
                <w:lang w:val="en-PH"/>
              </w:rPr>
            </w:pPr>
            <w:r w:rsidRPr="0083451B">
              <w:rPr>
                <w:rFonts w:ascii="Verdana" w:hAnsi="Verdana"/>
                <w:sz w:val="18"/>
                <w:szCs w:val="18"/>
                <w:lang w:val="en-PH"/>
              </w:rPr>
              <w:t>(ERC Case No. 2015-025 MC)</w:t>
            </w:r>
          </w:p>
        </w:tc>
        <w:tc>
          <w:tcPr>
            <w:tcW w:w="4555" w:type="dxa"/>
            <w:shd w:val="clear" w:color="auto" w:fill="auto"/>
            <w:tcMar>
              <w:top w:w="72" w:type="dxa"/>
              <w:left w:w="144" w:type="dxa"/>
              <w:bottom w:w="72" w:type="dxa"/>
              <w:right w:w="144" w:type="dxa"/>
            </w:tcMar>
            <w:hideMark/>
          </w:tcPr>
          <w:p w14:paraId="41F6383C" w14:textId="77777777" w:rsidR="00771C7B" w:rsidRPr="0083451B" w:rsidRDefault="00771C7B" w:rsidP="006247BD">
            <w:pPr>
              <w:rPr>
                <w:rFonts w:ascii="Verdana" w:hAnsi="Verdana"/>
                <w:sz w:val="18"/>
                <w:szCs w:val="18"/>
                <w:lang w:val="en-PH"/>
              </w:rPr>
            </w:pPr>
            <w:r w:rsidRPr="0083451B">
              <w:rPr>
                <w:rFonts w:ascii="Verdana" w:hAnsi="Verdana"/>
                <w:sz w:val="18"/>
                <w:szCs w:val="18"/>
                <w:lang w:val="en-PH"/>
              </w:rPr>
              <w:t>ERC Investigating Unit complaint in relation to the generation cost price spike in November 2013 and December 2013</w:t>
            </w:r>
          </w:p>
        </w:tc>
      </w:tr>
      <w:tr w:rsidR="00771C7B" w:rsidRPr="00C3679C" w14:paraId="55AA3E6A" w14:textId="77777777" w:rsidTr="006247BD">
        <w:trPr>
          <w:trHeight w:val="469"/>
          <w:jc w:val="right"/>
        </w:trPr>
        <w:tc>
          <w:tcPr>
            <w:tcW w:w="3740" w:type="dxa"/>
            <w:shd w:val="clear" w:color="auto" w:fill="auto"/>
            <w:tcMar>
              <w:top w:w="72" w:type="dxa"/>
              <w:left w:w="144" w:type="dxa"/>
              <w:bottom w:w="72" w:type="dxa"/>
              <w:right w:w="144" w:type="dxa"/>
            </w:tcMar>
            <w:hideMark/>
          </w:tcPr>
          <w:p w14:paraId="0BF59761" w14:textId="77777777" w:rsidR="00771C7B" w:rsidRPr="0083451B" w:rsidRDefault="00771C7B" w:rsidP="006247BD">
            <w:pPr>
              <w:rPr>
                <w:rFonts w:ascii="Verdana" w:hAnsi="Verdana"/>
                <w:i/>
                <w:sz w:val="18"/>
                <w:szCs w:val="18"/>
                <w:lang w:val="en-PH"/>
              </w:rPr>
            </w:pPr>
            <w:r w:rsidRPr="0083451B">
              <w:rPr>
                <w:rFonts w:ascii="Verdana" w:hAnsi="Verdana"/>
                <w:i/>
                <w:sz w:val="18"/>
                <w:szCs w:val="18"/>
                <w:lang w:val="en-PH"/>
              </w:rPr>
              <w:t>Meralco v. SPPC, et. al.</w:t>
            </w:r>
          </w:p>
          <w:p w14:paraId="67BD1670" w14:textId="77777777" w:rsidR="00771C7B" w:rsidRPr="0083451B" w:rsidRDefault="00771C7B" w:rsidP="006247BD">
            <w:pPr>
              <w:rPr>
                <w:rFonts w:ascii="Verdana" w:hAnsi="Verdana"/>
                <w:sz w:val="18"/>
                <w:szCs w:val="18"/>
                <w:lang w:val="en-PH"/>
              </w:rPr>
            </w:pPr>
            <w:r w:rsidRPr="0083451B">
              <w:rPr>
                <w:rFonts w:ascii="Verdana" w:hAnsi="Verdana"/>
                <w:sz w:val="18"/>
                <w:szCs w:val="18"/>
                <w:lang w:val="en-PH"/>
              </w:rPr>
              <w:t>(ERC Case No. 2013-077 MC)</w:t>
            </w:r>
          </w:p>
        </w:tc>
        <w:tc>
          <w:tcPr>
            <w:tcW w:w="4555" w:type="dxa"/>
            <w:shd w:val="clear" w:color="auto" w:fill="auto"/>
            <w:tcMar>
              <w:top w:w="72" w:type="dxa"/>
              <w:left w:w="144" w:type="dxa"/>
              <w:bottom w:w="72" w:type="dxa"/>
              <w:right w:w="144" w:type="dxa"/>
            </w:tcMar>
            <w:hideMark/>
          </w:tcPr>
          <w:p w14:paraId="5C12BB59" w14:textId="77777777" w:rsidR="00771C7B" w:rsidRPr="0083451B" w:rsidRDefault="00771C7B" w:rsidP="006247BD">
            <w:pPr>
              <w:rPr>
                <w:rFonts w:ascii="Verdana" w:hAnsi="Verdana"/>
                <w:sz w:val="18"/>
                <w:szCs w:val="18"/>
                <w:lang w:val="en-PH"/>
              </w:rPr>
            </w:pPr>
            <w:r w:rsidRPr="0083451B">
              <w:rPr>
                <w:rFonts w:ascii="Verdana" w:hAnsi="Verdana"/>
                <w:sz w:val="18"/>
                <w:szCs w:val="18"/>
                <w:lang w:val="en-PH"/>
              </w:rPr>
              <w:t xml:space="preserve">Petition for Dispute Resolution with the ERC in relation to the refund of the 2.98% transmission line losses </w:t>
            </w:r>
          </w:p>
        </w:tc>
      </w:tr>
    </w:tbl>
    <w:p w14:paraId="0CE2CE24" w14:textId="77777777" w:rsidR="00710E49" w:rsidRPr="0083451B" w:rsidRDefault="00710E49" w:rsidP="00710E49">
      <w:pPr>
        <w:ind w:left="720"/>
        <w:rPr>
          <w:sz w:val="22"/>
          <w:szCs w:val="22"/>
          <w:lang w:val="en-PH"/>
        </w:rPr>
      </w:pPr>
    </w:p>
    <w:p w14:paraId="740AF2F9" w14:textId="7424423B" w:rsidR="00710E49" w:rsidRPr="0083451B" w:rsidRDefault="00710E49" w:rsidP="00710E49">
      <w:pPr>
        <w:pStyle w:val="ListParagraph"/>
        <w:numPr>
          <w:ilvl w:val="2"/>
          <w:numId w:val="1"/>
        </w:numPr>
        <w:ind w:left="720"/>
        <w:rPr>
          <w:sz w:val="22"/>
          <w:szCs w:val="22"/>
          <w:lang w:val="en-PH"/>
        </w:rPr>
      </w:pPr>
      <w:r w:rsidRPr="0083451B">
        <w:rPr>
          <w:rFonts w:ascii="Verdana" w:hAnsi="Verdana"/>
          <w:bCs/>
          <w:iCs/>
          <w:sz w:val="22"/>
          <w:szCs w:val="22"/>
          <w:lang w:val="en-PH"/>
        </w:rPr>
        <w:t>The Bidder must be authorized under its articles of incorporation, constitutive or charter documents</w:t>
      </w:r>
      <w:r w:rsidR="00282A2D" w:rsidRPr="0083451B">
        <w:rPr>
          <w:rFonts w:ascii="Verdana" w:hAnsi="Verdana"/>
          <w:bCs/>
          <w:iCs/>
          <w:sz w:val="22"/>
          <w:szCs w:val="22"/>
          <w:lang w:val="en-PH"/>
        </w:rPr>
        <w:t>,</w:t>
      </w:r>
      <w:r w:rsidRPr="0083451B">
        <w:rPr>
          <w:rFonts w:ascii="Verdana" w:hAnsi="Verdana"/>
          <w:bCs/>
          <w:iCs/>
          <w:sz w:val="22"/>
          <w:szCs w:val="22"/>
          <w:lang w:val="en-PH"/>
        </w:rPr>
        <w:t xml:space="preserve"> or its equivalent</w:t>
      </w:r>
      <w:r w:rsidR="00282A2D" w:rsidRPr="0083451B">
        <w:rPr>
          <w:rFonts w:ascii="Verdana" w:hAnsi="Verdana"/>
          <w:bCs/>
          <w:iCs/>
          <w:sz w:val="22"/>
          <w:szCs w:val="22"/>
          <w:lang w:val="en-PH"/>
        </w:rPr>
        <w:t>,</w:t>
      </w:r>
      <w:r w:rsidRPr="0083451B">
        <w:rPr>
          <w:rFonts w:ascii="Verdana" w:hAnsi="Verdana"/>
          <w:bCs/>
          <w:iCs/>
          <w:sz w:val="22"/>
          <w:szCs w:val="22"/>
          <w:lang w:val="en-PH"/>
        </w:rPr>
        <w:t xml:space="preserve"> to engage in the business </w:t>
      </w:r>
      <w:r w:rsidRPr="0083451B">
        <w:rPr>
          <w:rFonts w:ascii="Verdana" w:hAnsi="Verdana"/>
          <w:bCs/>
          <w:iCs/>
          <w:sz w:val="22"/>
          <w:szCs w:val="22"/>
          <w:lang w:val="en-PH"/>
        </w:rPr>
        <w:lastRenderedPageBreak/>
        <w:t>of power generation and supply of electricity as contemplated u</w:t>
      </w:r>
      <w:r w:rsidR="00D45251" w:rsidRPr="0083451B">
        <w:rPr>
          <w:rFonts w:ascii="Verdana" w:hAnsi="Verdana"/>
          <w:bCs/>
          <w:iCs/>
          <w:sz w:val="22"/>
          <w:szCs w:val="22"/>
          <w:lang w:val="en-PH"/>
        </w:rPr>
        <w:t>nder the Power Supply Agreement; and</w:t>
      </w:r>
      <w:r w:rsidRPr="0083451B">
        <w:rPr>
          <w:rFonts w:ascii="Verdana" w:hAnsi="Verdana"/>
          <w:bCs/>
          <w:iCs/>
          <w:sz w:val="22"/>
          <w:szCs w:val="22"/>
          <w:lang w:val="en-PH"/>
        </w:rPr>
        <w:t xml:space="preserve">  </w:t>
      </w:r>
    </w:p>
    <w:p w14:paraId="631827A0" w14:textId="77777777" w:rsidR="00710E49" w:rsidRPr="0083451B" w:rsidRDefault="00710E49" w:rsidP="00710E49">
      <w:pPr>
        <w:pStyle w:val="ListParagraph"/>
        <w:rPr>
          <w:sz w:val="22"/>
          <w:szCs w:val="22"/>
          <w:lang w:val="en-PH"/>
        </w:rPr>
      </w:pPr>
    </w:p>
    <w:p w14:paraId="30B517FE" w14:textId="4A6BD96E" w:rsidR="00710E49" w:rsidRPr="0083451B" w:rsidRDefault="00710E49" w:rsidP="00710E49">
      <w:pPr>
        <w:pStyle w:val="ListParagraph"/>
        <w:numPr>
          <w:ilvl w:val="2"/>
          <w:numId w:val="1"/>
        </w:numPr>
        <w:ind w:left="720"/>
        <w:rPr>
          <w:sz w:val="22"/>
          <w:szCs w:val="22"/>
          <w:lang w:val="en-PH"/>
        </w:rPr>
      </w:pPr>
      <w:bookmarkStart w:id="7" w:name="_Hlk10035944"/>
      <w:bookmarkStart w:id="8" w:name="_Hlk10035823"/>
      <w:bookmarkStart w:id="9" w:name="_Hlk10017794"/>
      <w:r w:rsidRPr="0083451B">
        <w:rPr>
          <w:rFonts w:ascii="Verdana" w:hAnsi="Verdana"/>
          <w:sz w:val="22"/>
          <w:szCs w:val="22"/>
          <w:lang w:val="en-PH"/>
        </w:rPr>
        <w:t xml:space="preserve">The Bidder must issue </w:t>
      </w:r>
      <w:bookmarkStart w:id="10" w:name="_Hlk11412723"/>
      <w:r w:rsidRPr="0083451B">
        <w:rPr>
          <w:rFonts w:ascii="Verdana" w:hAnsi="Verdana"/>
          <w:sz w:val="22"/>
          <w:szCs w:val="22"/>
          <w:lang w:val="en-PH"/>
        </w:rPr>
        <w:t>a notarized certification that the offered Contract Capacity from the Nominated Power Plant</w:t>
      </w:r>
      <w:r w:rsidR="000C7BE3" w:rsidRPr="0083451B">
        <w:rPr>
          <w:rFonts w:ascii="Verdana" w:hAnsi="Verdana"/>
          <w:sz w:val="22"/>
          <w:szCs w:val="22"/>
          <w:lang w:val="en-PH"/>
        </w:rPr>
        <w:t>,</w:t>
      </w:r>
      <w:r w:rsidRPr="0083451B">
        <w:rPr>
          <w:rFonts w:ascii="Verdana" w:hAnsi="Verdana"/>
          <w:sz w:val="22"/>
          <w:szCs w:val="22"/>
          <w:lang w:val="en-PH"/>
        </w:rPr>
        <w:t xml:space="preserve"> </w:t>
      </w:r>
      <w:r w:rsidR="000C7BE3" w:rsidRPr="0083451B">
        <w:rPr>
          <w:rFonts w:ascii="Verdana" w:hAnsi="Verdana"/>
          <w:sz w:val="22"/>
          <w:szCs w:val="22"/>
          <w:lang w:val="en-PH"/>
        </w:rPr>
        <w:t xml:space="preserve">for the entire Required Contract Period, </w:t>
      </w:r>
      <w:r w:rsidR="006A60D7" w:rsidRPr="0083451B">
        <w:rPr>
          <w:rFonts w:ascii="Verdana" w:hAnsi="Verdana"/>
          <w:sz w:val="22"/>
          <w:szCs w:val="22"/>
          <w:lang w:val="en-PH"/>
        </w:rPr>
        <w:t>is</w:t>
      </w:r>
      <w:r w:rsidR="007548D6" w:rsidRPr="0083451B">
        <w:rPr>
          <w:rFonts w:ascii="Verdana" w:hAnsi="Verdana"/>
          <w:sz w:val="22"/>
          <w:szCs w:val="22"/>
          <w:lang w:val="en-PH"/>
        </w:rPr>
        <w:t xml:space="preserve"> </w:t>
      </w:r>
      <w:r w:rsidRPr="0083451B">
        <w:rPr>
          <w:rFonts w:ascii="Verdana" w:hAnsi="Verdana"/>
          <w:sz w:val="22"/>
          <w:szCs w:val="22"/>
          <w:lang w:val="en-PH"/>
        </w:rPr>
        <w:t xml:space="preserve">not covered by </w:t>
      </w:r>
      <w:r w:rsidR="007548D6" w:rsidRPr="0083451B">
        <w:rPr>
          <w:rFonts w:ascii="Verdana" w:hAnsi="Verdana"/>
          <w:sz w:val="22"/>
          <w:szCs w:val="22"/>
          <w:lang w:val="en-PH"/>
        </w:rPr>
        <w:t xml:space="preserve">any offtake agreement (e.g., </w:t>
      </w:r>
      <w:r w:rsidRPr="0083451B">
        <w:rPr>
          <w:rFonts w:ascii="Verdana" w:hAnsi="Verdana"/>
          <w:sz w:val="22"/>
          <w:szCs w:val="22"/>
          <w:lang w:val="en-PH"/>
        </w:rPr>
        <w:t xml:space="preserve">a power supply agreement </w:t>
      </w:r>
      <w:r w:rsidR="007548D6" w:rsidRPr="0083451B">
        <w:rPr>
          <w:rFonts w:ascii="Verdana" w:hAnsi="Verdana"/>
          <w:sz w:val="22"/>
          <w:szCs w:val="22"/>
          <w:lang w:val="en-PH"/>
        </w:rPr>
        <w:t>or ancillary services procurement agreem</w:t>
      </w:r>
      <w:r w:rsidR="006A60D7" w:rsidRPr="0083451B">
        <w:rPr>
          <w:rFonts w:ascii="Verdana" w:hAnsi="Verdana"/>
          <w:sz w:val="22"/>
          <w:szCs w:val="22"/>
          <w:lang w:val="en-PH"/>
        </w:rPr>
        <w:t xml:space="preserve">ent). However, if </w:t>
      </w:r>
      <w:r w:rsidR="007548D6" w:rsidRPr="0083451B">
        <w:rPr>
          <w:rFonts w:ascii="Verdana" w:hAnsi="Verdana"/>
          <w:sz w:val="22"/>
          <w:szCs w:val="22"/>
          <w:lang w:val="en-PH"/>
        </w:rPr>
        <w:t xml:space="preserve">covered by an offtake agreement </w:t>
      </w:r>
      <w:r w:rsidRPr="0083451B">
        <w:rPr>
          <w:rFonts w:ascii="Verdana" w:hAnsi="Verdana"/>
          <w:sz w:val="22"/>
          <w:szCs w:val="22"/>
          <w:lang w:val="en-PH"/>
        </w:rPr>
        <w:t xml:space="preserve">subject of an application for approval pending before the </w:t>
      </w:r>
      <w:r w:rsidR="00387465">
        <w:rPr>
          <w:rFonts w:ascii="Verdana" w:hAnsi="Verdana"/>
          <w:sz w:val="22"/>
          <w:szCs w:val="22"/>
          <w:lang w:val="en-PH"/>
        </w:rPr>
        <w:t>Energy Regulatory Commission (</w:t>
      </w:r>
      <w:r w:rsidRPr="0083451B">
        <w:rPr>
          <w:rFonts w:ascii="Verdana" w:hAnsi="Verdana"/>
          <w:sz w:val="22"/>
          <w:szCs w:val="22"/>
          <w:lang w:val="en-PH"/>
        </w:rPr>
        <w:t>ERC</w:t>
      </w:r>
      <w:r w:rsidR="00387465">
        <w:rPr>
          <w:rFonts w:ascii="Verdana" w:hAnsi="Verdana"/>
          <w:sz w:val="22"/>
          <w:szCs w:val="22"/>
          <w:lang w:val="en-PH"/>
        </w:rPr>
        <w:t>)</w:t>
      </w:r>
      <w:r w:rsidR="007548D6" w:rsidRPr="0083451B">
        <w:rPr>
          <w:rFonts w:ascii="Verdana" w:hAnsi="Verdana"/>
          <w:sz w:val="22"/>
          <w:szCs w:val="22"/>
          <w:lang w:val="en-PH"/>
        </w:rPr>
        <w:t>,</w:t>
      </w:r>
      <w:r w:rsidRPr="0083451B">
        <w:rPr>
          <w:rFonts w:ascii="Verdana" w:hAnsi="Verdana"/>
          <w:sz w:val="22"/>
          <w:szCs w:val="22"/>
          <w:lang w:val="en-PH"/>
        </w:rPr>
        <w:t xml:space="preserve"> </w:t>
      </w:r>
      <w:r w:rsidR="007548D6" w:rsidRPr="0083451B">
        <w:rPr>
          <w:rFonts w:ascii="Verdana" w:hAnsi="Verdana"/>
          <w:sz w:val="22"/>
          <w:szCs w:val="22"/>
          <w:lang w:val="en-PH"/>
        </w:rPr>
        <w:t xml:space="preserve">such application </w:t>
      </w:r>
      <w:r w:rsidR="006A60D7" w:rsidRPr="0083451B">
        <w:rPr>
          <w:rFonts w:ascii="Verdana" w:hAnsi="Verdana"/>
          <w:sz w:val="22"/>
          <w:szCs w:val="22"/>
          <w:lang w:val="en-PH"/>
        </w:rPr>
        <w:t xml:space="preserve">shall have been </w:t>
      </w:r>
      <w:r w:rsidR="007548D6" w:rsidRPr="0083451B">
        <w:rPr>
          <w:rFonts w:ascii="Verdana" w:hAnsi="Verdana"/>
          <w:sz w:val="22"/>
          <w:szCs w:val="22"/>
          <w:lang w:val="en-PH"/>
        </w:rPr>
        <w:t>withdrawn</w:t>
      </w:r>
      <w:r w:rsidR="00EE07F2" w:rsidRPr="0083451B">
        <w:rPr>
          <w:rFonts w:ascii="Verdana" w:hAnsi="Verdana"/>
          <w:sz w:val="22"/>
          <w:szCs w:val="22"/>
          <w:lang w:val="en-PH"/>
        </w:rPr>
        <w:t xml:space="preserve"> and the relevant offtake agreement has been terminated</w:t>
      </w:r>
      <w:r w:rsidR="006A60D7" w:rsidRPr="0083451B">
        <w:rPr>
          <w:rFonts w:ascii="Verdana" w:hAnsi="Verdana"/>
          <w:sz w:val="22"/>
          <w:szCs w:val="22"/>
          <w:lang w:val="en-PH"/>
        </w:rPr>
        <w:t xml:space="preserve"> as of Bid Submission Deadline</w:t>
      </w:r>
      <w:r w:rsidR="00EE07F2" w:rsidRPr="0083451B">
        <w:rPr>
          <w:rFonts w:ascii="Verdana" w:hAnsi="Verdana"/>
          <w:sz w:val="22"/>
          <w:szCs w:val="22"/>
          <w:lang w:val="en-PH"/>
        </w:rPr>
        <w:t xml:space="preserve">. </w:t>
      </w:r>
      <w:bookmarkEnd w:id="7"/>
    </w:p>
    <w:bookmarkEnd w:id="8"/>
    <w:bookmarkEnd w:id="9"/>
    <w:bookmarkEnd w:id="10"/>
    <w:p w14:paraId="2E663035" w14:textId="77777777" w:rsidR="00710E49" w:rsidRPr="0083451B" w:rsidRDefault="00710E49" w:rsidP="00710E49">
      <w:pPr>
        <w:pStyle w:val="ListParagraph"/>
        <w:rPr>
          <w:rFonts w:ascii="Verdana" w:hAnsi="Verdana"/>
          <w:bCs/>
          <w:iCs/>
          <w:sz w:val="22"/>
          <w:szCs w:val="22"/>
          <w:lang w:val="en-PH"/>
        </w:rPr>
      </w:pPr>
    </w:p>
    <w:p w14:paraId="21543F4B" w14:textId="77777777" w:rsidR="00710E49" w:rsidRPr="0083451B" w:rsidRDefault="00710E49" w:rsidP="00710E49">
      <w:pPr>
        <w:pStyle w:val="ListParagraph"/>
        <w:numPr>
          <w:ilvl w:val="0"/>
          <w:numId w:val="2"/>
        </w:numPr>
        <w:ind w:hanging="720"/>
        <w:rPr>
          <w:rFonts w:ascii="Verdana" w:hAnsi="Verdana"/>
          <w:b/>
          <w:bCs/>
          <w:iCs/>
          <w:sz w:val="22"/>
          <w:szCs w:val="22"/>
          <w:lang w:val="en-PH"/>
        </w:rPr>
      </w:pPr>
      <w:r w:rsidRPr="0083451B">
        <w:rPr>
          <w:rFonts w:ascii="Verdana" w:hAnsi="Verdana"/>
          <w:b/>
          <w:bCs/>
          <w:iCs/>
          <w:sz w:val="22"/>
          <w:szCs w:val="22"/>
          <w:lang w:val="en-PH"/>
        </w:rPr>
        <w:t>Technical Qualification Requirements</w:t>
      </w:r>
    </w:p>
    <w:p w14:paraId="380CD226" w14:textId="77777777" w:rsidR="00710E49" w:rsidRPr="0083451B" w:rsidRDefault="00710E49" w:rsidP="00710E49">
      <w:pPr>
        <w:pStyle w:val="ListParagraph"/>
        <w:rPr>
          <w:rFonts w:ascii="Verdana" w:hAnsi="Verdana"/>
          <w:bCs/>
          <w:iCs/>
          <w:sz w:val="22"/>
          <w:szCs w:val="22"/>
          <w:lang w:val="en-PH"/>
        </w:rPr>
      </w:pPr>
    </w:p>
    <w:p w14:paraId="5EE6D498" w14:textId="15E0CC48" w:rsidR="00710E49" w:rsidRPr="0083451B" w:rsidRDefault="00710E49" w:rsidP="00AE164B">
      <w:pPr>
        <w:pStyle w:val="ListParagraph"/>
        <w:numPr>
          <w:ilvl w:val="2"/>
          <w:numId w:val="3"/>
        </w:numPr>
        <w:tabs>
          <w:tab w:val="left" w:pos="1170"/>
        </w:tabs>
        <w:ind w:left="720"/>
        <w:rPr>
          <w:rFonts w:ascii="Verdana" w:hAnsi="Verdana"/>
          <w:bCs/>
          <w:iCs/>
          <w:sz w:val="22"/>
          <w:szCs w:val="22"/>
          <w:lang w:val="en-PH"/>
        </w:rPr>
      </w:pPr>
      <w:bookmarkStart w:id="11" w:name="_Hlk10467620"/>
      <w:r w:rsidRPr="0083451B">
        <w:rPr>
          <w:sz w:val="22"/>
          <w:szCs w:val="22"/>
        </w:rPr>
        <w:t xml:space="preserve"> </w:t>
      </w:r>
      <w:r w:rsidRPr="0083451B">
        <w:rPr>
          <w:rFonts w:ascii="Verdana" w:hAnsi="Verdana"/>
          <w:sz w:val="22"/>
          <w:szCs w:val="22"/>
        </w:rPr>
        <w:t xml:space="preserve">The Bidder, whether directly or through any of its direct shareholders representing Controlling interest, Affiliates or Ultimate Parent, </w:t>
      </w:r>
      <w:r w:rsidR="00312C5C" w:rsidRPr="0083451B">
        <w:rPr>
          <w:rFonts w:ascii="Verdana" w:hAnsi="Verdana"/>
          <w:sz w:val="22"/>
          <w:szCs w:val="22"/>
        </w:rPr>
        <w:t xml:space="preserve">must </w:t>
      </w:r>
      <w:r w:rsidRPr="0083451B">
        <w:rPr>
          <w:rFonts w:ascii="Verdana" w:hAnsi="Verdana"/>
          <w:sz w:val="22"/>
          <w:szCs w:val="22"/>
        </w:rPr>
        <w:t>ha</w:t>
      </w:r>
      <w:r w:rsidR="00312C5C" w:rsidRPr="0083451B">
        <w:rPr>
          <w:rFonts w:ascii="Verdana" w:hAnsi="Verdana"/>
          <w:sz w:val="22"/>
          <w:szCs w:val="22"/>
        </w:rPr>
        <w:t>ve</w:t>
      </w:r>
      <w:r w:rsidRPr="0083451B">
        <w:rPr>
          <w:rFonts w:ascii="Verdana" w:hAnsi="Verdana"/>
          <w:sz w:val="22"/>
          <w:szCs w:val="22"/>
        </w:rPr>
        <w:t xml:space="preserve"> a Reference Plant, whether in the Philippines or elsewhere.  For this purpose, a “</w:t>
      </w:r>
      <w:r w:rsidRPr="0083451B">
        <w:rPr>
          <w:rFonts w:ascii="Verdana" w:hAnsi="Verdana"/>
          <w:b/>
          <w:sz w:val="22"/>
          <w:szCs w:val="22"/>
          <w:u w:val="single"/>
        </w:rPr>
        <w:t>Reference Plant</w:t>
      </w:r>
      <w:r w:rsidRPr="0083451B">
        <w:rPr>
          <w:rFonts w:ascii="Verdana" w:hAnsi="Verdana"/>
          <w:sz w:val="22"/>
          <w:szCs w:val="22"/>
        </w:rPr>
        <w:t xml:space="preserve">” means a single power plant (baseload, firm, and dispatchable) of at least </w:t>
      </w:r>
      <w:r w:rsidR="0057612D" w:rsidRPr="00444C36">
        <w:rPr>
          <w:rFonts w:ascii="Verdana" w:hAnsi="Verdana"/>
          <w:sz w:val="22"/>
          <w:szCs w:val="22"/>
        </w:rPr>
        <w:t xml:space="preserve">150 </w:t>
      </w:r>
      <w:r w:rsidRPr="00444C36">
        <w:rPr>
          <w:rFonts w:ascii="Verdana" w:hAnsi="Verdana"/>
          <w:sz w:val="22"/>
          <w:szCs w:val="22"/>
        </w:rPr>
        <w:t>MW</w:t>
      </w:r>
      <w:r w:rsidR="00A96928">
        <w:rPr>
          <w:rFonts w:ascii="Verdana" w:hAnsi="Verdana"/>
          <w:sz w:val="22"/>
          <w:szCs w:val="22"/>
        </w:rPr>
        <w:t xml:space="preserve"> </w:t>
      </w:r>
      <w:r w:rsidRPr="0083451B">
        <w:rPr>
          <w:rFonts w:ascii="Verdana" w:hAnsi="Verdana"/>
          <w:sz w:val="22"/>
          <w:szCs w:val="22"/>
        </w:rPr>
        <w:t>installed capacity</w:t>
      </w:r>
      <w:r w:rsidR="00707F7C" w:rsidRPr="0083451B">
        <w:rPr>
          <w:rFonts w:ascii="Verdana" w:hAnsi="Verdana"/>
          <w:sz w:val="22"/>
          <w:szCs w:val="22"/>
        </w:rPr>
        <w:t xml:space="preserve"> and which, in the reasonable opinion of </w:t>
      </w:r>
      <w:r w:rsidR="00D12DA6" w:rsidRPr="0083451B">
        <w:rPr>
          <w:rFonts w:ascii="Verdana" w:hAnsi="Verdana"/>
          <w:sz w:val="22"/>
          <w:szCs w:val="22"/>
        </w:rPr>
        <w:t>the TPBAC</w:t>
      </w:r>
      <w:r w:rsidR="00707F7C" w:rsidRPr="0083451B">
        <w:rPr>
          <w:rFonts w:ascii="Verdana" w:hAnsi="Verdana"/>
          <w:sz w:val="22"/>
          <w:szCs w:val="22"/>
        </w:rPr>
        <w:t>, has been</w:t>
      </w:r>
      <w:r w:rsidRPr="0083451B">
        <w:rPr>
          <w:rFonts w:ascii="Verdana" w:hAnsi="Verdana"/>
          <w:sz w:val="22"/>
          <w:szCs w:val="22"/>
        </w:rPr>
        <w:t xml:space="preserve"> satisfactorily </w:t>
      </w:r>
      <w:r w:rsidR="00C06A8E" w:rsidRPr="0083451B">
        <w:rPr>
          <w:rFonts w:ascii="Verdana" w:hAnsi="Verdana"/>
          <w:sz w:val="22"/>
          <w:szCs w:val="22"/>
        </w:rPr>
        <w:t>developed,</w:t>
      </w:r>
      <w:r w:rsidR="00707F7C" w:rsidRPr="0083451B">
        <w:rPr>
          <w:rFonts w:ascii="Verdana" w:hAnsi="Verdana"/>
          <w:sz w:val="22"/>
          <w:szCs w:val="22"/>
        </w:rPr>
        <w:t xml:space="preserve"> or</w:t>
      </w:r>
      <w:r w:rsidR="00C06A8E" w:rsidRPr="0083451B">
        <w:rPr>
          <w:rFonts w:ascii="Verdana" w:hAnsi="Verdana"/>
          <w:sz w:val="22"/>
          <w:szCs w:val="22"/>
        </w:rPr>
        <w:t xml:space="preserve"> </w:t>
      </w:r>
      <w:r w:rsidRPr="0083451B">
        <w:rPr>
          <w:rFonts w:ascii="Verdana" w:hAnsi="Verdana"/>
          <w:sz w:val="22"/>
          <w:szCs w:val="22"/>
        </w:rPr>
        <w:t>constructed,</w:t>
      </w:r>
      <w:r w:rsidR="00707F7C" w:rsidRPr="0083451B">
        <w:rPr>
          <w:rFonts w:ascii="Verdana" w:hAnsi="Verdana"/>
          <w:sz w:val="22"/>
          <w:szCs w:val="22"/>
        </w:rPr>
        <w:t xml:space="preserve"> or</w:t>
      </w:r>
      <w:r w:rsidRPr="0083451B">
        <w:rPr>
          <w:rFonts w:ascii="Verdana" w:hAnsi="Verdana"/>
          <w:sz w:val="22"/>
          <w:szCs w:val="22"/>
        </w:rPr>
        <w:t xml:space="preserve"> operated,</w:t>
      </w:r>
      <w:r w:rsidR="00707F7C" w:rsidRPr="0083451B">
        <w:rPr>
          <w:rFonts w:ascii="Verdana" w:hAnsi="Verdana"/>
          <w:sz w:val="22"/>
          <w:szCs w:val="22"/>
        </w:rPr>
        <w:t xml:space="preserve"> or</w:t>
      </w:r>
      <w:r w:rsidRPr="0083451B">
        <w:rPr>
          <w:rFonts w:ascii="Verdana" w:hAnsi="Verdana"/>
          <w:sz w:val="22"/>
          <w:szCs w:val="22"/>
        </w:rPr>
        <w:t xml:space="preserve"> maintained by the Bidder, its direct shareholders representing Controlling interest, Affiliates or Ultimate Parent.</w:t>
      </w:r>
      <w:r w:rsidR="001D6C13" w:rsidRPr="0083451B">
        <w:rPr>
          <w:rFonts w:ascii="Verdana" w:hAnsi="Verdana"/>
          <w:sz w:val="22"/>
          <w:szCs w:val="22"/>
        </w:rPr>
        <w:t xml:space="preserve"> </w:t>
      </w:r>
    </w:p>
    <w:p w14:paraId="3F92B214" w14:textId="642D8062" w:rsidR="001D6C13" w:rsidRPr="0083451B" w:rsidRDefault="001D6C13" w:rsidP="001D6C13">
      <w:pPr>
        <w:ind w:left="720"/>
        <w:rPr>
          <w:rFonts w:ascii="Verdana" w:hAnsi="Verdana"/>
          <w:bCs/>
          <w:iCs/>
          <w:sz w:val="22"/>
          <w:szCs w:val="22"/>
          <w:highlight w:val="yellow"/>
          <w:lang w:val="en-PH"/>
        </w:rPr>
      </w:pPr>
    </w:p>
    <w:p w14:paraId="40A32397" w14:textId="5541960C" w:rsidR="001D6C13" w:rsidRPr="0083451B" w:rsidRDefault="001D6C13" w:rsidP="0060494A">
      <w:pPr>
        <w:ind w:left="720"/>
        <w:rPr>
          <w:rFonts w:ascii="Verdana" w:hAnsi="Verdana"/>
          <w:bCs/>
          <w:iCs/>
          <w:sz w:val="22"/>
          <w:szCs w:val="22"/>
          <w:lang w:val="en-PH"/>
        </w:rPr>
      </w:pPr>
      <w:r w:rsidRPr="0083451B">
        <w:rPr>
          <w:rFonts w:ascii="Verdana" w:hAnsi="Verdana"/>
          <w:bCs/>
          <w:iCs/>
          <w:sz w:val="22"/>
          <w:szCs w:val="22"/>
          <w:lang w:val="en-PH"/>
        </w:rPr>
        <w:t xml:space="preserve">Should the Bidder be composed of entities under an </w:t>
      </w:r>
      <w:r w:rsidR="000058B6" w:rsidRPr="0083451B">
        <w:rPr>
          <w:rFonts w:ascii="Verdana" w:hAnsi="Verdana"/>
          <w:bCs/>
          <w:iCs/>
          <w:sz w:val="22"/>
          <w:szCs w:val="22"/>
          <w:lang w:val="en-PH"/>
        </w:rPr>
        <w:t>u</w:t>
      </w:r>
      <w:r w:rsidRPr="0083451B">
        <w:rPr>
          <w:rFonts w:ascii="Verdana" w:hAnsi="Verdana"/>
          <w:bCs/>
          <w:iCs/>
          <w:sz w:val="22"/>
          <w:szCs w:val="22"/>
          <w:lang w:val="en-PH"/>
        </w:rPr>
        <w:t xml:space="preserve">nincorporated </w:t>
      </w:r>
      <w:r w:rsidR="000058B6" w:rsidRPr="0083451B">
        <w:rPr>
          <w:rFonts w:ascii="Verdana" w:hAnsi="Verdana"/>
          <w:bCs/>
          <w:iCs/>
          <w:sz w:val="22"/>
          <w:szCs w:val="22"/>
          <w:lang w:val="en-PH"/>
        </w:rPr>
        <w:t>j</w:t>
      </w:r>
      <w:r w:rsidRPr="0083451B">
        <w:rPr>
          <w:rFonts w:ascii="Verdana" w:hAnsi="Verdana"/>
          <w:bCs/>
          <w:iCs/>
          <w:sz w:val="22"/>
          <w:szCs w:val="22"/>
          <w:lang w:val="en-PH"/>
        </w:rPr>
        <w:t xml:space="preserve">oint </w:t>
      </w:r>
      <w:r w:rsidR="000058B6" w:rsidRPr="0083451B">
        <w:rPr>
          <w:rFonts w:ascii="Verdana" w:hAnsi="Verdana"/>
          <w:bCs/>
          <w:iCs/>
          <w:sz w:val="22"/>
          <w:szCs w:val="22"/>
          <w:lang w:val="en-PH"/>
        </w:rPr>
        <w:t>v</w:t>
      </w:r>
      <w:r w:rsidRPr="0083451B">
        <w:rPr>
          <w:rFonts w:ascii="Verdana" w:hAnsi="Verdana"/>
          <w:bCs/>
          <w:iCs/>
          <w:sz w:val="22"/>
          <w:szCs w:val="22"/>
          <w:lang w:val="en-PH"/>
        </w:rPr>
        <w:t>enture</w:t>
      </w:r>
      <w:r w:rsidR="000058B6" w:rsidRPr="0083451B">
        <w:rPr>
          <w:rFonts w:ascii="Verdana" w:hAnsi="Verdana"/>
          <w:bCs/>
          <w:iCs/>
          <w:sz w:val="22"/>
          <w:szCs w:val="22"/>
          <w:lang w:val="en-PH"/>
        </w:rPr>
        <w:t xml:space="preserve"> or a partnership</w:t>
      </w:r>
      <w:r w:rsidRPr="0083451B">
        <w:rPr>
          <w:rFonts w:ascii="Verdana" w:hAnsi="Verdana"/>
          <w:bCs/>
          <w:iCs/>
          <w:sz w:val="22"/>
          <w:szCs w:val="22"/>
          <w:lang w:val="en-PH"/>
        </w:rPr>
        <w:t>, each entity</w:t>
      </w:r>
      <w:r w:rsidR="00681253" w:rsidRPr="0083451B">
        <w:rPr>
          <w:rFonts w:ascii="Verdana" w:hAnsi="Verdana"/>
          <w:bCs/>
          <w:iCs/>
          <w:sz w:val="22"/>
          <w:szCs w:val="22"/>
          <w:lang w:val="en-PH"/>
        </w:rPr>
        <w:t xml:space="preserve"> or party</w:t>
      </w:r>
      <w:r w:rsidRPr="0083451B">
        <w:rPr>
          <w:rFonts w:ascii="Verdana" w:hAnsi="Verdana"/>
          <w:bCs/>
          <w:iCs/>
          <w:sz w:val="22"/>
          <w:szCs w:val="22"/>
          <w:lang w:val="en-PH"/>
        </w:rPr>
        <w:t xml:space="preserve"> must provide a separate Reference Plant, as described above.</w:t>
      </w:r>
    </w:p>
    <w:p w14:paraId="5876AE6C" w14:textId="77777777" w:rsidR="00710E49" w:rsidRPr="0083451B" w:rsidRDefault="00710E49" w:rsidP="00710E49">
      <w:pPr>
        <w:pStyle w:val="ListParagraph"/>
        <w:rPr>
          <w:rFonts w:ascii="Verdana" w:hAnsi="Verdana"/>
          <w:bCs/>
          <w:iCs/>
          <w:sz w:val="22"/>
          <w:szCs w:val="22"/>
          <w:lang w:val="en-PH"/>
        </w:rPr>
      </w:pPr>
    </w:p>
    <w:p w14:paraId="6529AC94" w14:textId="53E003B7" w:rsidR="00180FD9" w:rsidRDefault="00710E49">
      <w:pPr>
        <w:ind w:left="720"/>
        <w:rPr>
          <w:rFonts w:ascii="Verdana" w:hAnsi="Verdana"/>
          <w:bCs/>
          <w:iCs/>
          <w:sz w:val="22"/>
          <w:szCs w:val="22"/>
        </w:rPr>
      </w:pPr>
      <w:r w:rsidRPr="0083451B">
        <w:rPr>
          <w:rFonts w:ascii="Verdana" w:hAnsi="Verdana"/>
          <w:bCs/>
          <w:iCs/>
          <w:sz w:val="22"/>
          <w:szCs w:val="22"/>
          <w:lang w:val="en-PH"/>
        </w:rPr>
        <w:t>An “</w:t>
      </w:r>
      <w:r w:rsidRPr="0083451B">
        <w:rPr>
          <w:rFonts w:ascii="Verdana" w:hAnsi="Verdana"/>
          <w:b/>
          <w:bCs/>
          <w:iCs/>
          <w:sz w:val="22"/>
          <w:szCs w:val="22"/>
          <w:u w:val="single"/>
          <w:lang w:val="en-PH"/>
        </w:rPr>
        <w:t>Affiliate</w:t>
      </w:r>
      <w:r w:rsidRPr="0083451B">
        <w:rPr>
          <w:rFonts w:ascii="Verdana" w:hAnsi="Verdana"/>
          <w:bCs/>
          <w:iCs/>
          <w:sz w:val="22"/>
          <w:szCs w:val="22"/>
          <w:lang w:val="en-PH"/>
        </w:rPr>
        <w:t xml:space="preserve">” </w:t>
      </w:r>
      <w:r w:rsidR="00180FD9" w:rsidRPr="0083451B">
        <w:rPr>
          <w:rFonts w:ascii="Verdana" w:hAnsi="Verdana"/>
          <w:bCs/>
          <w:iCs/>
          <w:sz w:val="22"/>
          <w:szCs w:val="22"/>
        </w:rPr>
        <w:t xml:space="preserve">means with respect to a specified entity, an entity that directly or indirectly, through one or more intermediaries, Controls (e.g. parent or grandparent company), is Controlled by (e.g. subsidiary) or is under common control (e.g. sister company) with the specified entity. </w:t>
      </w:r>
    </w:p>
    <w:p w14:paraId="53FB5A2C" w14:textId="77777777" w:rsidR="004F2B89" w:rsidRPr="0083451B" w:rsidRDefault="004F2B89">
      <w:pPr>
        <w:ind w:left="720"/>
        <w:rPr>
          <w:rFonts w:ascii="Verdana" w:hAnsi="Verdana"/>
          <w:bCs/>
          <w:iCs/>
          <w:sz w:val="22"/>
          <w:szCs w:val="22"/>
        </w:rPr>
      </w:pPr>
    </w:p>
    <w:p w14:paraId="2550FEC9" w14:textId="7FBA90EC" w:rsidR="00180FD9" w:rsidRPr="0083451B" w:rsidRDefault="00147BE4" w:rsidP="00AE164B">
      <w:pPr>
        <w:ind w:left="720"/>
        <w:rPr>
          <w:rFonts w:ascii="Verdana" w:hAnsi="Verdana"/>
          <w:bCs/>
          <w:iCs/>
          <w:sz w:val="22"/>
          <w:szCs w:val="22"/>
        </w:rPr>
      </w:pPr>
      <w:r w:rsidRPr="0083451B">
        <w:rPr>
          <w:rFonts w:ascii="Verdana" w:hAnsi="Verdana"/>
          <w:bCs/>
          <w:iCs/>
          <w:sz w:val="22"/>
          <w:szCs w:val="22"/>
          <w:lang w:val="en-PH"/>
        </w:rPr>
        <w:t>“</w:t>
      </w:r>
      <w:r w:rsidRPr="0083451B">
        <w:rPr>
          <w:rFonts w:ascii="Verdana" w:hAnsi="Verdana"/>
          <w:b/>
          <w:bCs/>
          <w:iCs/>
          <w:sz w:val="22"/>
          <w:szCs w:val="22"/>
          <w:u w:val="single"/>
          <w:lang w:val="en-PH"/>
        </w:rPr>
        <w:t>Control</w:t>
      </w:r>
      <w:r w:rsidRPr="0083451B">
        <w:rPr>
          <w:rFonts w:ascii="Verdana" w:hAnsi="Verdana"/>
          <w:bCs/>
          <w:iCs/>
          <w:sz w:val="22"/>
          <w:szCs w:val="22"/>
          <w:lang w:val="en-PH"/>
        </w:rPr>
        <w:t>” means</w:t>
      </w:r>
      <w:r w:rsidR="00180FD9" w:rsidRPr="0083451B">
        <w:rPr>
          <w:rFonts w:ascii="Verdana" w:hAnsi="Verdana"/>
          <w:bCs/>
          <w:iCs/>
          <w:sz w:val="22"/>
          <w:szCs w:val="22"/>
          <w:lang w:val="en-PH"/>
        </w:rPr>
        <w:t xml:space="preserve">: (a) </w:t>
      </w:r>
      <w:r w:rsidR="00180FD9" w:rsidRPr="0083451B">
        <w:rPr>
          <w:rFonts w:ascii="Verdana" w:hAnsi="Verdana"/>
          <w:bCs/>
          <w:iCs/>
          <w:sz w:val="22"/>
          <w:szCs w:val="22"/>
        </w:rPr>
        <w:t xml:space="preserve">the ownership (whether directly or indirectly) of more than fifty percent (&gt;50%) of the total issued voting share capital or other voting interest of that company or corporation; or (b) the ability to unilaterally appoint a majority of the board directors or equivalent body of that company or corporation through the ownership of securities with voting power or otherwise, without the need of the vote or approval of another; or (c) the ability to otherwise unilaterally direct the business affairs and/or operations of that company or corporation, without the need of the vote or approval of another.  </w:t>
      </w:r>
    </w:p>
    <w:p w14:paraId="2F4B350B" w14:textId="77777777" w:rsidR="00180FD9" w:rsidRPr="0083451B" w:rsidRDefault="00180FD9">
      <w:pPr>
        <w:ind w:left="720"/>
        <w:rPr>
          <w:rFonts w:ascii="Verdana" w:hAnsi="Verdana"/>
          <w:bCs/>
          <w:iCs/>
          <w:sz w:val="22"/>
          <w:szCs w:val="22"/>
        </w:rPr>
      </w:pPr>
    </w:p>
    <w:p w14:paraId="733EC088" w14:textId="7D34A47B" w:rsidR="00180FD9" w:rsidRPr="0083451B" w:rsidRDefault="00180FD9" w:rsidP="00180FD9">
      <w:pPr>
        <w:ind w:left="720"/>
        <w:rPr>
          <w:rFonts w:ascii="Verdana" w:hAnsi="Verdana"/>
          <w:bCs/>
          <w:iCs/>
          <w:sz w:val="22"/>
          <w:szCs w:val="22"/>
        </w:rPr>
      </w:pPr>
      <w:r w:rsidRPr="0083451B">
        <w:rPr>
          <w:rFonts w:ascii="Verdana" w:hAnsi="Verdana"/>
          <w:bCs/>
          <w:iCs/>
          <w:sz w:val="22"/>
          <w:szCs w:val="22"/>
        </w:rPr>
        <w:t xml:space="preserve">The terms Controls, Controlled and Controlling shall have correlative meanings. For the avoidance of doubt, if a corporation is owned by two (2) shareholders at exactly fifty percent (50%) each, that corporation shall not be considered under </w:t>
      </w:r>
      <w:r w:rsidR="00D45251" w:rsidRPr="0083451B">
        <w:rPr>
          <w:rFonts w:ascii="Verdana" w:hAnsi="Verdana"/>
          <w:bCs/>
          <w:iCs/>
          <w:sz w:val="22"/>
          <w:szCs w:val="22"/>
        </w:rPr>
        <w:t>the control of each shareholder;</w:t>
      </w:r>
    </w:p>
    <w:p w14:paraId="496D23EE" w14:textId="77777777" w:rsidR="00180FD9" w:rsidRPr="0083451B" w:rsidRDefault="00180FD9" w:rsidP="00180FD9">
      <w:pPr>
        <w:ind w:left="720"/>
        <w:rPr>
          <w:rFonts w:ascii="Verdana" w:hAnsi="Verdana"/>
          <w:bCs/>
          <w:iCs/>
          <w:sz w:val="22"/>
          <w:szCs w:val="22"/>
        </w:rPr>
      </w:pPr>
    </w:p>
    <w:p w14:paraId="1D12563E" w14:textId="2E87D958" w:rsidR="00710E49" w:rsidRPr="0083451B" w:rsidRDefault="00710E49" w:rsidP="00710E49">
      <w:pPr>
        <w:pStyle w:val="ListParagraph"/>
        <w:numPr>
          <w:ilvl w:val="2"/>
          <w:numId w:val="3"/>
        </w:numPr>
        <w:ind w:left="720"/>
        <w:rPr>
          <w:rFonts w:ascii="Verdana" w:hAnsi="Verdana"/>
          <w:bCs/>
          <w:iCs/>
          <w:sz w:val="22"/>
          <w:szCs w:val="22"/>
          <w:lang w:val="en-PH"/>
        </w:rPr>
      </w:pPr>
      <w:bookmarkStart w:id="12" w:name="_Hlk10722198"/>
      <w:r w:rsidRPr="0083451B">
        <w:rPr>
          <w:rFonts w:ascii="Verdana" w:hAnsi="Verdana"/>
          <w:bCs/>
          <w:iCs/>
          <w:sz w:val="22"/>
          <w:szCs w:val="22"/>
          <w:lang w:val="en-PH"/>
        </w:rPr>
        <w:lastRenderedPageBreak/>
        <w:t xml:space="preserve">The Bidder </w:t>
      </w:r>
      <w:r w:rsidR="00312C5C" w:rsidRPr="0083451B">
        <w:rPr>
          <w:rFonts w:ascii="Verdana" w:hAnsi="Verdana"/>
          <w:bCs/>
          <w:iCs/>
          <w:sz w:val="22"/>
          <w:szCs w:val="22"/>
          <w:lang w:val="en-PH"/>
        </w:rPr>
        <w:t>must provide</w:t>
      </w:r>
      <w:r w:rsidR="00ED39F1" w:rsidRPr="0083451B">
        <w:rPr>
          <w:rFonts w:ascii="Verdana" w:hAnsi="Verdana"/>
          <w:bCs/>
          <w:iCs/>
          <w:sz w:val="22"/>
          <w:szCs w:val="22"/>
          <w:lang w:val="en-PH"/>
        </w:rPr>
        <w:t xml:space="preserve"> evidence</w:t>
      </w:r>
      <w:r w:rsidRPr="0083451B">
        <w:rPr>
          <w:rFonts w:ascii="Verdana" w:hAnsi="Verdana"/>
          <w:bCs/>
          <w:iCs/>
          <w:sz w:val="22"/>
          <w:szCs w:val="22"/>
          <w:lang w:val="en-PH"/>
        </w:rPr>
        <w:t xml:space="preserve"> that the Reference Plant is capable of generation of electricity of at </w:t>
      </w:r>
      <w:r w:rsidRPr="00444C36">
        <w:rPr>
          <w:rFonts w:ascii="Verdana" w:hAnsi="Verdana"/>
          <w:bCs/>
          <w:iCs/>
          <w:sz w:val="22"/>
          <w:szCs w:val="22"/>
          <w:lang w:val="en-PH"/>
        </w:rPr>
        <w:t xml:space="preserve">least </w:t>
      </w:r>
      <w:r w:rsidR="0057612D" w:rsidRPr="00444C36">
        <w:rPr>
          <w:rFonts w:ascii="Verdana" w:hAnsi="Verdana"/>
          <w:bCs/>
          <w:iCs/>
          <w:sz w:val="22"/>
          <w:szCs w:val="22"/>
          <w:lang w:val="en-PH"/>
        </w:rPr>
        <w:t xml:space="preserve">150 </w:t>
      </w:r>
      <w:r w:rsidRPr="00444C36">
        <w:rPr>
          <w:rFonts w:ascii="Verdana" w:hAnsi="Verdana"/>
          <w:bCs/>
          <w:iCs/>
          <w:sz w:val="22"/>
          <w:szCs w:val="22"/>
          <w:lang w:val="en-PH"/>
        </w:rPr>
        <w:t>MW,</w:t>
      </w:r>
      <w:r w:rsidRPr="0083451B">
        <w:rPr>
          <w:rFonts w:ascii="Verdana" w:hAnsi="Verdana"/>
          <w:bCs/>
          <w:iCs/>
          <w:sz w:val="22"/>
          <w:szCs w:val="22"/>
          <w:lang w:val="en-PH"/>
        </w:rPr>
        <w:t xml:space="preserve"> which (i) in case of a Reference Plant located in the Ph</w:t>
      </w:r>
      <w:r w:rsidR="00626F39">
        <w:rPr>
          <w:rFonts w:ascii="Verdana" w:hAnsi="Verdana"/>
          <w:bCs/>
          <w:iCs/>
          <w:sz w:val="22"/>
          <w:szCs w:val="22"/>
          <w:lang w:val="en-PH"/>
        </w:rPr>
        <w:t>ilippines, may be supported by</w:t>
      </w:r>
      <w:r w:rsidRPr="0083451B">
        <w:rPr>
          <w:rFonts w:ascii="Verdana" w:hAnsi="Verdana"/>
          <w:bCs/>
          <w:iCs/>
          <w:sz w:val="22"/>
          <w:szCs w:val="22"/>
          <w:lang w:val="en-PH"/>
        </w:rPr>
        <w:t xml:space="preserve"> </w:t>
      </w:r>
      <w:r w:rsidR="00041919" w:rsidRPr="0083451B">
        <w:rPr>
          <w:rFonts w:ascii="Verdana" w:hAnsi="Verdana"/>
          <w:bCs/>
          <w:iCs/>
          <w:sz w:val="22"/>
          <w:szCs w:val="22"/>
          <w:lang w:val="en-PH"/>
        </w:rPr>
        <w:t>any official</w:t>
      </w:r>
      <w:r w:rsidR="005D2B3C" w:rsidRPr="0083451B">
        <w:rPr>
          <w:rFonts w:ascii="Verdana" w:hAnsi="Verdana"/>
          <w:bCs/>
          <w:iCs/>
          <w:sz w:val="22"/>
          <w:szCs w:val="22"/>
          <w:lang w:val="en-PH"/>
        </w:rPr>
        <w:t xml:space="preserve"> </w:t>
      </w:r>
      <w:r w:rsidR="004D18D0" w:rsidRPr="0083451B">
        <w:rPr>
          <w:rFonts w:ascii="Verdana" w:hAnsi="Verdana"/>
          <w:bCs/>
          <w:iCs/>
          <w:sz w:val="22"/>
          <w:szCs w:val="22"/>
          <w:lang w:val="en-PH"/>
        </w:rPr>
        <w:t>document</w:t>
      </w:r>
      <w:r w:rsidR="00041919" w:rsidRPr="0083451B">
        <w:rPr>
          <w:rFonts w:ascii="Verdana" w:hAnsi="Verdana"/>
          <w:bCs/>
          <w:iCs/>
          <w:sz w:val="22"/>
          <w:szCs w:val="22"/>
          <w:lang w:val="en-PH"/>
        </w:rPr>
        <w:t xml:space="preserve"> submitted to, or issued by, the ERC, DOE, Philippine Electricity Market Corporation, or Independent Electricity Market Operator of the Philippines</w:t>
      </w:r>
      <w:r w:rsidR="005D2B3C" w:rsidRPr="0083451B">
        <w:rPr>
          <w:rFonts w:ascii="Verdana" w:hAnsi="Verdana"/>
          <w:bCs/>
          <w:iCs/>
          <w:sz w:val="22"/>
          <w:szCs w:val="22"/>
          <w:lang w:val="en-PH"/>
        </w:rPr>
        <w:t xml:space="preserve"> </w:t>
      </w:r>
      <w:r w:rsidRPr="0083451B">
        <w:rPr>
          <w:rFonts w:ascii="Verdana" w:hAnsi="Verdana"/>
          <w:bCs/>
          <w:iCs/>
          <w:sz w:val="22"/>
          <w:szCs w:val="22"/>
          <w:lang w:val="en-PH"/>
        </w:rPr>
        <w:t>or (ii) in case of a Reference Plant located outside the Philippines, any equivalent or similar document</w:t>
      </w:r>
      <w:bookmarkEnd w:id="12"/>
      <w:r w:rsidR="00D45251" w:rsidRPr="0083451B">
        <w:rPr>
          <w:rFonts w:ascii="Verdana" w:hAnsi="Verdana"/>
          <w:bCs/>
          <w:iCs/>
          <w:sz w:val="22"/>
          <w:szCs w:val="22"/>
          <w:lang w:val="en-PH"/>
        </w:rPr>
        <w:t>;</w:t>
      </w:r>
      <w:r w:rsidRPr="0083451B">
        <w:rPr>
          <w:rFonts w:ascii="Verdana" w:hAnsi="Verdana"/>
          <w:bCs/>
          <w:iCs/>
          <w:sz w:val="22"/>
          <w:szCs w:val="22"/>
          <w:lang w:val="en-PH"/>
        </w:rPr>
        <w:t xml:space="preserve"> </w:t>
      </w:r>
    </w:p>
    <w:p w14:paraId="63834211" w14:textId="77777777" w:rsidR="00710E49" w:rsidRPr="0083451B" w:rsidRDefault="00710E49" w:rsidP="00710E49">
      <w:pPr>
        <w:pStyle w:val="ListParagraph"/>
        <w:rPr>
          <w:rFonts w:ascii="Verdana" w:hAnsi="Verdana"/>
          <w:bCs/>
          <w:iCs/>
          <w:sz w:val="22"/>
          <w:szCs w:val="22"/>
          <w:lang w:val="en-PH"/>
        </w:rPr>
      </w:pPr>
    </w:p>
    <w:p w14:paraId="3D8A7332" w14:textId="7BDF3360" w:rsidR="00710E49" w:rsidRPr="0083451B" w:rsidRDefault="00710E49" w:rsidP="00710E49">
      <w:pPr>
        <w:pStyle w:val="ListParagraph"/>
        <w:numPr>
          <w:ilvl w:val="2"/>
          <w:numId w:val="3"/>
        </w:numPr>
        <w:ind w:left="720"/>
        <w:rPr>
          <w:rFonts w:ascii="Verdana" w:hAnsi="Verdana"/>
          <w:bCs/>
          <w:iCs/>
          <w:sz w:val="22"/>
          <w:szCs w:val="22"/>
          <w:lang w:val="en-PH"/>
        </w:rPr>
      </w:pPr>
      <w:r w:rsidRPr="0083451B">
        <w:rPr>
          <w:rFonts w:ascii="Verdana" w:hAnsi="Verdana"/>
          <w:bCs/>
          <w:iCs/>
          <w:sz w:val="22"/>
          <w:szCs w:val="22"/>
          <w:lang w:val="en-PH"/>
        </w:rPr>
        <w:t xml:space="preserve">The Bidder </w:t>
      </w:r>
      <w:r w:rsidR="00312C5C" w:rsidRPr="0083451B">
        <w:rPr>
          <w:rFonts w:ascii="Verdana" w:hAnsi="Verdana"/>
          <w:bCs/>
          <w:iCs/>
          <w:sz w:val="22"/>
          <w:szCs w:val="22"/>
          <w:lang w:val="en-PH"/>
        </w:rPr>
        <w:t>must</w:t>
      </w:r>
      <w:r w:rsidRPr="0083451B">
        <w:rPr>
          <w:rFonts w:ascii="Verdana" w:hAnsi="Verdana"/>
          <w:bCs/>
          <w:iCs/>
          <w:sz w:val="22"/>
          <w:szCs w:val="22"/>
          <w:lang w:val="en-PH"/>
        </w:rPr>
        <w:t xml:space="preserve"> provide the Reference Plant’s general information and its key components (e.g., boiler, turbine and generator), such as the design (e.g., type, including specific fuel, number of units, and capacity), and plant site/s, and interconnection s</w:t>
      </w:r>
      <w:r w:rsidR="00D45251" w:rsidRPr="0083451B">
        <w:rPr>
          <w:rFonts w:ascii="Verdana" w:hAnsi="Verdana"/>
          <w:bCs/>
          <w:iCs/>
          <w:sz w:val="22"/>
          <w:szCs w:val="22"/>
          <w:lang w:val="en-PH"/>
        </w:rPr>
        <w:t>ite/s;</w:t>
      </w:r>
    </w:p>
    <w:p w14:paraId="03722A06" w14:textId="77777777" w:rsidR="00710E49" w:rsidRPr="0083451B" w:rsidRDefault="00710E49" w:rsidP="00710E49">
      <w:pPr>
        <w:pStyle w:val="ListParagraph"/>
        <w:rPr>
          <w:rFonts w:ascii="Verdana" w:hAnsi="Verdana"/>
          <w:bCs/>
          <w:iCs/>
          <w:sz w:val="22"/>
          <w:szCs w:val="22"/>
          <w:lang w:val="en-PH"/>
        </w:rPr>
      </w:pPr>
    </w:p>
    <w:p w14:paraId="4DC2C806" w14:textId="484D2D42" w:rsidR="00710E49" w:rsidRPr="0083451B" w:rsidRDefault="00710E49" w:rsidP="00710E49">
      <w:pPr>
        <w:pStyle w:val="ListParagraph"/>
        <w:numPr>
          <w:ilvl w:val="2"/>
          <w:numId w:val="3"/>
        </w:numPr>
        <w:ind w:left="720"/>
        <w:rPr>
          <w:rFonts w:ascii="Verdana" w:hAnsi="Verdana"/>
          <w:bCs/>
          <w:iCs/>
          <w:sz w:val="22"/>
          <w:szCs w:val="22"/>
          <w:lang w:val="en-PH"/>
        </w:rPr>
      </w:pPr>
      <w:bookmarkStart w:id="13" w:name="_Hlk10722448"/>
      <w:r w:rsidRPr="0083451B">
        <w:rPr>
          <w:rFonts w:ascii="Verdana" w:hAnsi="Verdana"/>
          <w:bCs/>
          <w:iCs/>
          <w:sz w:val="22"/>
          <w:szCs w:val="22"/>
          <w:lang w:val="en-PH"/>
        </w:rPr>
        <w:t xml:space="preserve">The Reference Plant, if located in the Philippines, must be covered by a Certificate of Compliance (COC) from the </w:t>
      </w:r>
      <w:r w:rsidRPr="0083451B">
        <w:rPr>
          <w:rFonts w:ascii="Verdana" w:hAnsi="Verdana"/>
          <w:sz w:val="22"/>
          <w:szCs w:val="22"/>
          <w:lang w:val="en-PH"/>
        </w:rPr>
        <w:t>ERC</w:t>
      </w:r>
      <w:r w:rsidR="00041919" w:rsidRPr="0083451B">
        <w:rPr>
          <w:rFonts w:ascii="Verdana" w:hAnsi="Verdana"/>
          <w:sz w:val="22"/>
          <w:szCs w:val="22"/>
          <w:lang w:val="en-PH"/>
        </w:rPr>
        <w:t xml:space="preserve">. If the COC is not available as of </w:t>
      </w:r>
      <w:r w:rsidR="0030050E" w:rsidRPr="0083451B">
        <w:rPr>
          <w:rFonts w:ascii="Verdana" w:hAnsi="Verdana"/>
          <w:sz w:val="22"/>
          <w:szCs w:val="22"/>
          <w:lang w:val="en-PH"/>
        </w:rPr>
        <w:t xml:space="preserve">Bid </w:t>
      </w:r>
      <w:r w:rsidR="00041919" w:rsidRPr="0083451B">
        <w:rPr>
          <w:rFonts w:ascii="Verdana" w:hAnsi="Verdana"/>
          <w:sz w:val="22"/>
          <w:szCs w:val="22"/>
          <w:lang w:val="en-PH"/>
        </w:rPr>
        <w:t xml:space="preserve">Submission Deadline, the Bidder must </w:t>
      </w:r>
      <w:proofErr w:type="gramStart"/>
      <w:r w:rsidR="00041919" w:rsidRPr="0083451B">
        <w:rPr>
          <w:rFonts w:ascii="Verdana" w:hAnsi="Verdana"/>
          <w:sz w:val="22"/>
          <w:szCs w:val="22"/>
          <w:lang w:val="en-PH"/>
        </w:rPr>
        <w:t>submit an application</w:t>
      </w:r>
      <w:proofErr w:type="gramEnd"/>
      <w:r w:rsidR="00041919" w:rsidRPr="0083451B">
        <w:rPr>
          <w:rFonts w:ascii="Verdana" w:hAnsi="Verdana"/>
          <w:sz w:val="22"/>
          <w:szCs w:val="22"/>
          <w:lang w:val="en-PH"/>
        </w:rPr>
        <w:t xml:space="preserve"> for a COC pending before the ERC </w:t>
      </w:r>
      <w:r w:rsidR="00681253" w:rsidRPr="0083451B">
        <w:rPr>
          <w:rFonts w:ascii="Verdana" w:hAnsi="Verdana"/>
          <w:sz w:val="22"/>
          <w:szCs w:val="22"/>
          <w:lang w:val="en-PH"/>
        </w:rPr>
        <w:t xml:space="preserve">or </w:t>
      </w:r>
      <w:r w:rsidR="00041919" w:rsidRPr="0083451B">
        <w:rPr>
          <w:rFonts w:ascii="Verdana" w:hAnsi="Verdana"/>
          <w:sz w:val="22"/>
          <w:szCs w:val="22"/>
          <w:lang w:val="en-PH"/>
        </w:rPr>
        <w:t xml:space="preserve">any other official document coming from the ERC confirming the Reference Plant’s authority to operate at </w:t>
      </w:r>
      <w:r w:rsidR="00041919" w:rsidRPr="00444C36">
        <w:rPr>
          <w:rFonts w:ascii="Verdana" w:hAnsi="Verdana"/>
          <w:sz w:val="22"/>
          <w:szCs w:val="22"/>
          <w:lang w:val="en-PH"/>
        </w:rPr>
        <w:t xml:space="preserve">least </w:t>
      </w:r>
      <w:r w:rsidR="00EF767F" w:rsidRPr="00444C36">
        <w:rPr>
          <w:rFonts w:ascii="Verdana" w:hAnsi="Verdana"/>
          <w:bCs/>
          <w:iCs/>
          <w:sz w:val="22"/>
          <w:szCs w:val="22"/>
          <w:lang w:val="en-PH"/>
        </w:rPr>
        <w:t>150</w:t>
      </w:r>
      <w:r w:rsidR="00041919" w:rsidRPr="00444C36">
        <w:rPr>
          <w:rFonts w:ascii="Verdana" w:hAnsi="Verdana"/>
          <w:sz w:val="22"/>
          <w:szCs w:val="22"/>
          <w:lang w:val="en-PH"/>
        </w:rPr>
        <w:t xml:space="preserve"> MW</w:t>
      </w:r>
      <w:r w:rsidR="00041919" w:rsidRPr="0083451B">
        <w:rPr>
          <w:rFonts w:ascii="Verdana" w:hAnsi="Verdana"/>
          <w:sz w:val="22"/>
          <w:szCs w:val="22"/>
          <w:lang w:val="en-PH"/>
        </w:rPr>
        <w:t xml:space="preserve">. </w:t>
      </w:r>
      <w:r w:rsidRPr="0083451B">
        <w:rPr>
          <w:rFonts w:ascii="Verdana" w:hAnsi="Verdana"/>
          <w:sz w:val="22"/>
          <w:szCs w:val="22"/>
          <w:lang w:val="en-PH"/>
        </w:rPr>
        <w:t xml:space="preserve"> </w:t>
      </w:r>
      <w:bookmarkEnd w:id="13"/>
      <w:r w:rsidRPr="0083451B">
        <w:rPr>
          <w:rFonts w:ascii="Verdana" w:hAnsi="Verdana"/>
          <w:sz w:val="22"/>
          <w:szCs w:val="22"/>
          <w:lang w:val="en-PH"/>
        </w:rPr>
        <w:t xml:space="preserve">If the Reference Plant </w:t>
      </w:r>
      <w:proofErr w:type="gramStart"/>
      <w:r w:rsidRPr="0083451B">
        <w:rPr>
          <w:rFonts w:ascii="Verdana" w:hAnsi="Verdana"/>
          <w:sz w:val="22"/>
          <w:szCs w:val="22"/>
          <w:lang w:val="en-PH"/>
        </w:rPr>
        <w:t xml:space="preserve">is </w:t>
      </w:r>
      <w:r w:rsidRPr="0083451B">
        <w:rPr>
          <w:rFonts w:ascii="Verdana" w:hAnsi="Verdana"/>
          <w:bCs/>
          <w:iCs/>
          <w:sz w:val="22"/>
          <w:szCs w:val="22"/>
          <w:lang w:val="en-PH"/>
        </w:rPr>
        <w:t>located in</w:t>
      </w:r>
      <w:proofErr w:type="gramEnd"/>
      <w:r w:rsidRPr="0083451B">
        <w:rPr>
          <w:rFonts w:ascii="Verdana" w:hAnsi="Verdana"/>
          <w:bCs/>
          <w:iCs/>
          <w:sz w:val="22"/>
          <w:szCs w:val="22"/>
          <w:lang w:val="en-PH"/>
        </w:rPr>
        <w:t xml:space="preserve"> Luzon or </w:t>
      </w:r>
      <w:proofErr w:type="spellStart"/>
      <w:r w:rsidRPr="0083451B">
        <w:rPr>
          <w:rFonts w:ascii="Verdana" w:hAnsi="Verdana"/>
          <w:bCs/>
          <w:iCs/>
          <w:sz w:val="22"/>
          <w:szCs w:val="22"/>
          <w:lang w:val="en-PH"/>
        </w:rPr>
        <w:t>Visayas</w:t>
      </w:r>
      <w:proofErr w:type="spellEnd"/>
      <w:r w:rsidRPr="0083451B">
        <w:rPr>
          <w:rFonts w:ascii="Verdana" w:hAnsi="Verdana"/>
          <w:bCs/>
          <w:iCs/>
          <w:sz w:val="22"/>
          <w:szCs w:val="22"/>
          <w:lang w:val="en-PH"/>
        </w:rPr>
        <w:t xml:space="preserve">, it must be registered as a direct member of the WESM.  </w:t>
      </w:r>
      <w:bookmarkStart w:id="14" w:name="_Hlk10722536"/>
      <w:r w:rsidRPr="0083451B">
        <w:rPr>
          <w:rFonts w:ascii="Verdana" w:hAnsi="Verdana"/>
          <w:bCs/>
          <w:iCs/>
          <w:sz w:val="22"/>
          <w:szCs w:val="22"/>
          <w:lang w:val="en-PH"/>
        </w:rPr>
        <w:t>If the Reference Plant is located outside of the Philippines, it must have the license or permit equivalent to the ERC’s COC</w:t>
      </w:r>
      <w:r w:rsidR="00041919" w:rsidRPr="0083451B">
        <w:rPr>
          <w:rFonts w:ascii="Verdana" w:hAnsi="Verdana"/>
          <w:bCs/>
          <w:iCs/>
          <w:sz w:val="22"/>
          <w:szCs w:val="22"/>
          <w:lang w:val="en-PH"/>
        </w:rPr>
        <w:t>, or the alternative documents</w:t>
      </w:r>
      <w:r w:rsidR="00D45251" w:rsidRPr="0083451B">
        <w:rPr>
          <w:rFonts w:ascii="Verdana" w:hAnsi="Verdana"/>
          <w:bCs/>
          <w:iCs/>
          <w:sz w:val="22"/>
          <w:szCs w:val="22"/>
          <w:lang w:val="en-PH"/>
        </w:rPr>
        <w:t>; and</w:t>
      </w:r>
      <w:r w:rsidRPr="0083451B">
        <w:rPr>
          <w:rFonts w:ascii="Verdana" w:hAnsi="Verdana"/>
          <w:bCs/>
          <w:iCs/>
          <w:sz w:val="22"/>
          <w:szCs w:val="22"/>
          <w:lang w:val="en-PH"/>
        </w:rPr>
        <w:t xml:space="preserve"> </w:t>
      </w:r>
      <w:bookmarkEnd w:id="14"/>
    </w:p>
    <w:p w14:paraId="44806F96" w14:textId="77777777" w:rsidR="00710E49" w:rsidRPr="0083451B" w:rsidRDefault="00710E49" w:rsidP="00710E49">
      <w:pPr>
        <w:pStyle w:val="ListParagraph"/>
        <w:rPr>
          <w:rFonts w:ascii="Verdana" w:hAnsi="Verdana"/>
          <w:bCs/>
          <w:iCs/>
          <w:sz w:val="22"/>
          <w:szCs w:val="22"/>
          <w:lang w:val="en-PH"/>
        </w:rPr>
      </w:pPr>
    </w:p>
    <w:p w14:paraId="0E45AC6E" w14:textId="706C28F9" w:rsidR="00710E49" w:rsidRPr="0083451B" w:rsidRDefault="00710E49" w:rsidP="00710E49">
      <w:pPr>
        <w:pStyle w:val="ListParagraph"/>
        <w:numPr>
          <w:ilvl w:val="2"/>
          <w:numId w:val="3"/>
        </w:numPr>
        <w:ind w:left="720"/>
        <w:rPr>
          <w:rFonts w:ascii="Verdana" w:hAnsi="Verdana"/>
          <w:bCs/>
          <w:iCs/>
          <w:sz w:val="22"/>
          <w:szCs w:val="22"/>
          <w:lang w:val="en-PH"/>
        </w:rPr>
      </w:pPr>
      <w:bookmarkStart w:id="15" w:name="_Hlk10722586"/>
      <w:r w:rsidRPr="0083451B">
        <w:rPr>
          <w:rFonts w:ascii="Verdana" w:hAnsi="Verdana"/>
          <w:bCs/>
          <w:iCs/>
          <w:sz w:val="22"/>
          <w:szCs w:val="22"/>
          <w:lang w:val="en-PH"/>
        </w:rPr>
        <w:t xml:space="preserve">The Reference Plant, if located in the Philippines, must be covered by a valid Transmission </w:t>
      </w:r>
      <w:r w:rsidR="000B34EA" w:rsidRPr="0083451B">
        <w:rPr>
          <w:rFonts w:ascii="Verdana" w:hAnsi="Verdana"/>
          <w:bCs/>
          <w:iCs/>
          <w:sz w:val="22"/>
          <w:szCs w:val="22"/>
          <w:lang w:val="en-PH"/>
        </w:rPr>
        <w:t xml:space="preserve">Service </w:t>
      </w:r>
      <w:r w:rsidRPr="0083451B">
        <w:rPr>
          <w:rFonts w:ascii="Verdana" w:hAnsi="Verdana"/>
          <w:bCs/>
          <w:iCs/>
          <w:sz w:val="22"/>
          <w:szCs w:val="22"/>
          <w:lang w:val="en-PH"/>
        </w:rPr>
        <w:t xml:space="preserve">Agreement </w:t>
      </w:r>
      <w:r w:rsidR="00BC4414" w:rsidRPr="0083451B">
        <w:rPr>
          <w:rFonts w:ascii="Verdana" w:hAnsi="Verdana"/>
          <w:bCs/>
          <w:iCs/>
          <w:sz w:val="22"/>
          <w:szCs w:val="22"/>
          <w:lang w:val="en-PH"/>
        </w:rPr>
        <w:t xml:space="preserve">duly certified by the National Grid Corporation of the Philippines (NGCP), </w:t>
      </w:r>
      <w:r w:rsidRPr="0083451B">
        <w:rPr>
          <w:rFonts w:ascii="Verdana" w:hAnsi="Verdana"/>
          <w:bCs/>
          <w:iCs/>
          <w:sz w:val="22"/>
          <w:szCs w:val="22"/>
          <w:lang w:val="en-PH"/>
        </w:rPr>
        <w:t>and Fuel Supply</w:t>
      </w:r>
      <w:r w:rsidR="00BC4414" w:rsidRPr="0083451B">
        <w:rPr>
          <w:rFonts w:ascii="Verdana" w:hAnsi="Verdana"/>
          <w:bCs/>
          <w:iCs/>
          <w:sz w:val="22"/>
          <w:szCs w:val="22"/>
          <w:lang w:val="en-PH"/>
        </w:rPr>
        <w:t xml:space="preserve"> Plan or</w:t>
      </w:r>
      <w:r w:rsidRPr="0083451B">
        <w:rPr>
          <w:rFonts w:ascii="Verdana" w:hAnsi="Verdana"/>
          <w:bCs/>
          <w:iCs/>
          <w:sz w:val="22"/>
          <w:szCs w:val="22"/>
          <w:lang w:val="en-PH"/>
        </w:rPr>
        <w:t xml:space="preserve"> Agreement, or the equivalent thereof if in a foreign country.</w:t>
      </w:r>
    </w:p>
    <w:p w14:paraId="21F4B0C2" w14:textId="46FE569F" w:rsidR="00710E49" w:rsidRDefault="00710E49" w:rsidP="00710E49">
      <w:pPr>
        <w:pStyle w:val="ListParagraph"/>
        <w:rPr>
          <w:rFonts w:ascii="Verdana" w:hAnsi="Verdana"/>
          <w:bCs/>
          <w:iCs/>
          <w:sz w:val="22"/>
          <w:szCs w:val="22"/>
          <w:lang w:val="en-PH"/>
        </w:rPr>
      </w:pPr>
    </w:p>
    <w:bookmarkEnd w:id="11"/>
    <w:bookmarkEnd w:id="15"/>
    <w:p w14:paraId="05417A0E" w14:textId="77777777" w:rsidR="00710E49" w:rsidRPr="0083451B" w:rsidRDefault="00710E49" w:rsidP="00710E49">
      <w:pPr>
        <w:jc w:val="left"/>
        <w:rPr>
          <w:rFonts w:ascii="Verdana" w:hAnsi="Verdana"/>
          <w:b/>
          <w:bCs/>
          <w:iCs/>
          <w:sz w:val="22"/>
          <w:szCs w:val="22"/>
          <w:lang w:val="en-PH"/>
        </w:rPr>
      </w:pPr>
      <w:r w:rsidRPr="0083451B">
        <w:rPr>
          <w:rFonts w:ascii="Verdana" w:hAnsi="Verdana"/>
          <w:b/>
          <w:bCs/>
          <w:iCs/>
          <w:sz w:val="22"/>
          <w:szCs w:val="22"/>
          <w:lang w:val="en-PH"/>
        </w:rPr>
        <w:t>3.</w:t>
      </w:r>
      <w:r w:rsidRPr="0083451B">
        <w:rPr>
          <w:rFonts w:ascii="Verdana" w:hAnsi="Verdana"/>
          <w:b/>
          <w:bCs/>
          <w:iCs/>
          <w:sz w:val="22"/>
          <w:szCs w:val="22"/>
          <w:lang w:val="en-PH"/>
        </w:rPr>
        <w:tab/>
        <w:t>Financial Qualification Requirements</w:t>
      </w:r>
    </w:p>
    <w:p w14:paraId="3BF41126" w14:textId="77777777" w:rsidR="00710E49" w:rsidRPr="0083451B" w:rsidRDefault="00710E49" w:rsidP="00710E49">
      <w:pPr>
        <w:rPr>
          <w:rFonts w:ascii="Verdana" w:hAnsi="Verdana"/>
          <w:bCs/>
          <w:iCs/>
          <w:sz w:val="22"/>
          <w:szCs w:val="22"/>
          <w:lang w:val="en-PH"/>
        </w:rPr>
      </w:pPr>
    </w:p>
    <w:p w14:paraId="1D42C323" w14:textId="01372A1B" w:rsidR="00710E49" w:rsidRPr="0083451B" w:rsidRDefault="00710E49" w:rsidP="0060494A">
      <w:pPr>
        <w:pStyle w:val="ListParagraph"/>
        <w:numPr>
          <w:ilvl w:val="0"/>
          <w:numId w:val="14"/>
        </w:numPr>
        <w:ind w:left="720" w:firstLine="0"/>
        <w:rPr>
          <w:rFonts w:ascii="Verdana" w:hAnsi="Verdana"/>
          <w:color w:val="000000" w:themeColor="text1"/>
          <w:sz w:val="22"/>
          <w:szCs w:val="22"/>
          <w:lang w:val="en-PH"/>
        </w:rPr>
      </w:pPr>
      <w:r w:rsidRPr="0083451B">
        <w:rPr>
          <w:rFonts w:ascii="Verdana" w:hAnsi="Verdana"/>
          <w:color w:val="000000" w:themeColor="text1"/>
          <w:sz w:val="22"/>
          <w:szCs w:val="22"/>
          <w:lang w:val="en-PH"/>
        </w:rPr>
        <w:t>The Bidder must show satisfactory evidence that it has the financial capacity to fulfill its obligations with Meralco. This requirement may be complied with by the Bidder directly or through any of its direct shareholders representing Controlling interest, Affiliates or Ultimate Parent.  As evidence thereof, the Bidder or any of its direct shareholders representing Controlling interest, Affiliates or Ultimate Parent</w:t>
      </w:r>
      <w:r w:rsidR="005326A6" w:rsidRPr="0083451B">
        <w:rPr>
          <w:rFonts w:ascii="Verdana" w:hAnsi="Verdana"/>
          <w:color w:val="000000" w:themeColor="text1"/>
          <w:sz w:val="22"/>
          <w:szCs w:val="22"/>
          <w:lang w:val="en-PH"/>
        </w:rPr>
        <w:t xml:space="preserve">, or in case of </w:t>
      </w:r>
      <w:r w:rsidR="005326A6" w:rsidRPr="0083451B">
        <w:rPr>
          <w:rFonts w:ascii="Verdana" w:hAnsi="Verdana"/>
          <w:bCs/>
          <w:iCs/>
          <w:sz w:val="22"/>
          <w:szCs w:val="22"/>
          <w:lang w:val="en-PH"/>
        </w:rPr>
        <w:t xml:space="preserve">an unincorporated joint venture or a partnership, each entity or party thereto, </w:t>
      </w:r>
      <w:r w:rsidRPr="0083451B">
        <w:rPr>
          <w:rFonts w:ascii="Verdana" w:hAnsi="Verdana"/>
          <w:color w:val="000000" w:themeColor="text1"/>
          <w:sz w:val="22"/>
          <w:szCs w:val="22"/>
          <w:lang w:val="en-PH"/>
        </w:rPr>
        <w:t>must:</w:t>
      </w:r>
    </w:p>
    <w:p w14:paraId="2544D182" w14:textId="77777777" w:rsidR="00710E49" w:rsidRPr="0083451B" w:rsidRDefault="00710E49" w:rsidP="00710E49">
      <w:pPr>
        <w:pStyle w:val="ListParagraph"/>
        <w:ind w:left="0"/>
        <w:rPr>
          <w:rFonts w:ascii="Verdana" w:hAnsi="Verdana"/>
          <w:color w:val="000000" w:themeColor="text1"/>
          <w:sz w:val="22"/>
          <w:szCs w:val="22"/>
          <w:lang w:val="en-PH"/>
        </w:rPr>
      </w:pPr>
    </w:p>
    <w:p w14:paraId="5C26401E" w14:textId="17D813F6" w:rsidR="00710E49" w:rsidRPr="0083451B" w:rsidRDefault="00710E49" w:rsidP="00710E49">
      <w:pPr>
        <w:pStyle w:val="ListParagraph"/>
        <w:ind w:left="2160" w:hanging="720"/>
        <w:rPr>
          <w:rFonts w:ascii="Verdana" w:hAnsi="Verdana"/>
          <w:color w:val="000000" w:themeColor="text1"/>
          <w:sz w:val="22"/>
          <w:szCs w:val="22"/>
          <w:lang w:val="en-PH"/>
        </w:rPr>
      </w:pPr>
      <w:r w:rsidRPr="0083451B">
        <w:rPr>
          <w:rFonts w:ascii="Verdana" w:hAnsi="Verdana"/>
          <w:color w:val="000000" w:themeColor="text1"/>
          <w:sz w:val="22"/>
          <w:szCs w:val="22"/>
          <w:lang w:val="en-PH"/>
        </w:rPr>
        <w:t xml:space="preserve">(i) </w:t>
      </w:r>
      <w:r w:rsidRPr="0083451B">
        <w:rPr>
          <w:rFonts w:ascii="Verdana" w:hAnsi="Verdana"/>
          <w:color w:val="000000" w:themeColor="text1"/>
          <w:sz w:val="22"/>
          <w:szCs w:val="22"/>
          <w:lang w:val="en-PH"/>
        </w:rPr>
        <w:tab/>
        <w:t xml:space="preserve">submit its audited </w:t>
      </w:r>
      <w:r w:rsidR="00AC193E" w:rsidRPr="0083451B">
        <w:rPr>
          <w:rFonts w:ascii="Verdana" w:hAnsi="Verdana"/>
          <w:color w:val="000000" w:themeColor="text1"/>
          <w:sz w:val="22"/>
          <w:szCs w:val="22"/>
          <w:lang w:val="en-PH"/>
        </w:rPr>
        <w:t xml:space="preserve">(parent and consolidated, if applicable) </w:t>
      </w:r>
      <w:r w:rsidRPr="0083451B">
        <w:rPr>
          <w:rFonts w:ascii="Verdana" w:hAnsi="Verdana"/>
          <w:color w:val="000000" w:themeColor="text1"/>
          <w:sz w:val="22"/>
          <w:szCs w:val="22"/>
          <w:lang w:val="en-PH"/>
        </w:rPr>
        <w:t>financial statements for the last three (3) years (the latest of which must not be earlier than for the year ending December 31, 2018) and recent quarterly financial statements; and</w:t>
      </w:r>
    </w:p>
    <w:p w14:paraId="42769B36" w14:textId="77777777" w:rsidR="00710E49" w:rsidRPr="0083451B" w:rsidRDefault="00710E49" w:rsidP="00710E49">
      <w:pPr>
        <w:pStyle w:val="ListParagraph"/>
        <w:ind w:left="2160"/>
        <w:rPr>
          <w:rFonts w:ascii="Verdana" w:hAnsi="Verdana"/>
          <w:color w:val="000000" w:themeColor="text1"/>
          <w:sz w:val="22"/>
          <w:szCs w:val="22"/>
          <w:lang w:val="en-PH"/>
        </w:rPr>
      </w:pPr>
    </w:p>
    <w:p w14:paraId="5B2D3810" w14:textId="5A812E4B" w:rsidR="00710E49" w:rsidRPr="0083451B" w:rsidRDefault="00710E49" w:rsidP="00710E49">
      <w:pPr>
        <w:pStyle w:val="ListParagraph"/>
        <w:ind w:left="2160" w:hanging="720"/>
        <w:rPr>
          <w:rFonts w:ascii="Verdana" w:hAnsi="Verdana"/>
          <w:color w:val="000000" w:themeColor="text1"/>
          <w:sz w:val="22"/>
          <w:szCs w:val="22"/>
          <w:lang w:val="en-PH"/>
        </w:rPr>
      </w:pPr>
      <w:r w:rsidRPr="0083451B">
        <w:rPr>
          <w:rFonts w:ascii="Verdana" w:hAnsi="Verdana"/>
          <w:color w:val="000000" w:themeColor="text1"/>
          <w:sz w:val="22"/>
          <w:szCs w:val="22"/>
          <w:lang w:val="en-PH"/>
        </w:rPr>
        <w:t xml:space="preserve">(ii) </w:t>
      </w:r>
      <w:r w:rsidRPr="0083451B">
        <w:rPr>
          <w:rFonts w:ascii="Verdana" w:hAnsi="Verdana"/>
          <w:color w:val="000000" w:themeColor="text1"/>
          <w:sz w:val="22"/>
          <w:szCs w:val="22"/>
          <w:lang w:val="en-PH"/>
        </w:rPr>
        <w:tab/>
      </w:r>
      <w:r w:rsidR="00AC193E" w:rsidRPr="0083451B">
        <w:rPr>
          <w:rFonts w:ascii="Verdana" w:hAnsi="Verdana"/>
          <w:color w:val="000000" w:themeColor="text1"/>
          <w:sz w:val="22"/>
          <w:szCs w:val="22"/>
          <w:lang w:val="en-PH"/>
        </w:rPr>
        <w:t xml:space="preserve">the consolidated </w:t>
      </w:r>
      <w:r w:rsidRPr="0083451B">
        <w:rPr>
          <w:rFonts w:ascii="Verdana" w:hAnsi="Verdana"/>
          <w:color w:val="000000" w:themeColor="text1"/>
          <w:sz w:val="22"/>
          <w:szCs w:val="22"/>
          <w:lang w:val="en-PH"/>
        </w:rPr>
        <w:t xml:space="preserve">financial statements must show an Unrestricted Net Worth of </w:t>
      </w:r>
      <w:bookmarkStart w:id="16" w:name="_Hlk10468075"/>
      <w:r w:rsidRPr="0083451B">
        <w:rPr>
          <w:rFonts w:ascii="Verdana" w:hAnsi="Verdana"/>
          <w:color w:val="000000" w:themeColor="text1"/>
          <w:sz w:val="22"/>
          <w:szCs w:val="22"/>
          <w:lang w:val="en-PH"/>
        </w:rPr>
        <w:t xml:space="preserve">at least 30% of the Project Cost </w:t>
      </w:r>
      <w:bookmarkEnd w:id="16"/>
      <w:r w:rsidRPr="0083451B">
        <w:rPr>
          <w:rFonts w:ascii="Verdana" w:hAnsi="Verdana"/>
          <w:color w:val="000000" w:themeColor="text1"/>
          <w:sz w:val="22"/>
          <w:szCs w:val="22"/>
          <w:lang w:val="en-PH"/>
        </w:rPr>
        <w:t>(defined below) (“</w:t>
      </w:r>
      <w:r w:rsidRPr="0083451B">
        <w:rPr>
          <w:rFonts w:ascii="Verdana" w:hAnsi="Verdana"/>
          <w:b/>
          <w:color w:val="000000" w:themeColor="text1"/>
          <w:sz w:val="22"/>
          <w:szCs w:val="22"/>
          <w:u w:val="single"/>
          <w:lang w:val="en-PH"/>
        </w:rPr>
        <w:t>Required Unrestricted Net Worth</w:t>
      </w:r>
      <w:r w:rsidRPr="0083451B">
        <w:rPr>
          <w:rFonts w:ascii="Verdana" w:hAnsi="Verdana"/>
          <w:color w:val="000000" w:themeColor="text1"/>
          <w:sz w:val="22"/>
          <w:szCs w:val="22"/>
          <w:lang w:val="en-PH"/>
        </w:rPr>
        <w:t xml:space="preserve">”) based on its submitted financial statements.  </w:t>
      </w:r>
    </w:p>
    <w:p w14:paraId="70CCA8A8" w14:textId="77777777" w:rsidR="00710E49" w:rsidRPr="0083451B" w:rsidRDefault="00710E49" w:rsidP="00710E49">
      <w:pPr>
        <w:pStyle w:val="ListParagraph"/>
        <w:ind w:left="2160" w:hanging="720"/>
        <w:rPr>
          <w:rFonts w:ascii="Verdana" w:hAnsi="Verdana"/>
          <w:color w:val="000000" w:themeColor="text1"/>
          <w:sz w:val="22"/>
          <w:szCs w:val="22"/>
          <w:lang w:val="en-PH"/>
        </w:rPr>
      </w:pPr>
    </w:p>
    <w:p w14:paraId="766F35FB" w14:textId="5109A2F9" w:rsidR="00710E49" w:rsidRPr="0083451B" w:rsidRDefault="00710E49" w:rsidP="00710E49">
      <w:pPr>
        <w:ind w:left="2160"/>
        <w:rPr>
          <w:rFonts w:ascii="Verdana" w:eastAsia="Calibri" w:hAnsi="Verdana"/>
          <w:color w:val="000000" w:themeColor="text1"/>
          <w:sz w:val="22"/>
          <w:szCs w:val="22"/>
        </w:rPr>
      </w:pPr>
      <w:r w:rsidRPr="0083451B">
        <w:rPr>
          <w:rFonts w:ascii="Verdana" w:eastAsia="Calibri" w:hAnsi="Verdana"/>
          <w:color w:val="000000" w:themeColor="text1"/>
          <w:sz w:val="22"/>
          <w:szCs w:val="22"/>
        </w:rPr>
        <w:lastRenderedPageBreak/>
        <w:t>“</w:t>
      </w:r>
      <w:r w:rsidRPr="0083451B">
        <w:rPr>
          <w:rFonts w:ascii="Verdana" w:eastAsia="Calibri" w:hAnsi="Verdana"/>
          <w:b/>
          <w:color w:val="000000" w:themeColor="text1"/>
          <w:sz w:val="22"/>
          <w:szCs w:val="22"/>
          <w:u w:val="single"/>
        </w:rPr>
        <w:t>Unrestricted Net Worth</w:t>
      </w:r>
      <w:r w:rsidRPr="0083451B">
        <w:rPr>
          <w:rFonts w:ascii="Verdana" w:eastAsia="Calibri" w:hAnsi="Verdana"/>
          <w:color w:val="000000" w:themeColor="text1"/>
          <w:sz w:val="22"/>
          <w:szCs w:val="22"/>
        </w:rPr>
        <w:t>” means the sum of subscribed and paid up equity, including additional paid-in capital, and unrestricted retained earnings</w:t>
      </w:r>
      <w:r w:rsidR="00C04F07" w:rsidRPr="0083451B">
        <w:rPr>
          <w:rFonts w:ascii="Verdana" w:eastAsia="Calibri" w:hAnsi="Verdana"/>
          <w:color w:val="000000" w:themeColor="text1"/>
          <w:sz w:val="22"/>
          <w:szCs w:val="22"/>
        </w:rPr>
        <w:t xml:space="preserve">, </w:t>
      </w:r>
      <w:bookmarkStart w:id="17" w:name="_Hlk11404910"/>
      <w:r w:rsidR="00C04F07" w:rsidRPr="0083451B">
        <w:rPr>
          <w:rFonts w:ascii="Verdana" w:eastAsia="Calibri" w:hAnsi="Verdana"/>
          <w:color w:val="000000" w:themeColor="text1"/>
          <w:sz w:val="22"/>
          <w:szCs w:val="22"/>
        </w:rPr>
        <w:t>preferred</w:t>
      </w:r>
      <w:r w:rsidR="00810B95" w:rsidRPr="0083451B">
        <w:rPr>
          <w:rFonts w:ascii="Verdana" w:eastAsia="Calibri" w:hAnsi="Verdana"/>
          <w:color w:val="000000" w:themeColor="text1"/>
          <w:sz w:val="22"/>
          <w:szCs w:val="22"/>
        </w:rPr>
        <w:t xml:space="preserve"> shares, perpetual shares less treasury shares of common, preferred, and perpetual shares</w:t>
      </w:r>
      <w:r w:rsidRPr="0083451B">
        <w:rPr>
          <w:rFonts w:ascii="Verdana" w:eastAsia="Calibri" w:hAnsi="Verdana"/>
          <w:color w:val="000000" w:themeColor="text1"/>
          <w:sz w:val="22"/>
          <w:szCs w:val="22"/>
        </w:rPr>
        <w:t>.</w:t>
      </w:r>
      <w:bookmarkEnd w:id="17"/>
      <w:r w:rsidRPr="0083451B">
        <w:rPr>
          <w:rFonts w:ascii="Verdana" w:eastAsia="Calibri" w:hAnsi="Verdana"/>
          <w:color w:val="000000" w:themeColor="text1"/>
          <w:sz w:val="22"/>
          <w:szCs w:val="22"/>
        </w:rPr>
        <w:t xml:space="preserve">  Unrestricted retained earnings means the amount of accumulated profits and gains realized out of the normal and continuous operations of the company after deducting therefrom distributions to stockholders and transfers to capital stock or other accounts, and which is: (1) not appropriated by its Board of Directors for corporate expansion projects or programs; (2) not covered by a restriction for dividend declaration under a loan agreement; (3) not required to be retained under special circumstances obtaining in the corporation such as when there is a need for a special reserve for probable contingences (as defined in SEC Memorandum Circular No. 11-08 dated December 5, 2008); and (4) not otherwise covered by any other legal restriction </w:t>
      </w:r>
      <w:r w:rsidR="009A74D2" w:rsidRPr="0083451B">
        <w:rPr>
          <w:rFonts w:ascii="Verdana" w:eastAsia="Calibri" w:hAnsi="Verdana"/>
          <w:color w:val="000000" w:themeColor="text1"/>
          <w:sz w:val="22"/>
          <w:szCs w:val="22"/>
        </w:rPr>
        <w:t>(which refers to any injunction, judgement, or order issued by any judicial authority)</w:t>
      </w:r>
      <w:r w:rsidR="009A74D2" w:rsidRPr="009A74D2">
        <w:rPr>
          <w:rFonts w:ascii="Verdana" w:eastAsia="Calibri" w:hAnsi="Verdana"/>
          <w:color w:val="000000" w:themeColor="text1"/>
          <w:sz w:val="22"/>
          <w:szCs w:val="22"/>
        </w:rPr>
        <w:t xml:space="preserve">  </w:t>
      </w:r>
      <w:r w:rsidRPr="0083451B">
        <w:rPr>
          <w:rFonts w:ascii="Verdana" w:eastAsia="Calibri" w:hAnsi="Verdana"/>
          <w:color w:val="000000" w:themeColor="text1"/>
          <w:sz w:val="22"/>
          <w:szCs w:val="22"/>
        </w:rPr>
        <w:t>on the ability of the company to distribute or otherwise apply its equity</w:t>
      </w:r>
      <w:r w:rsidR="00D12DA6" w:rsidRPr="0083451B">
        <w:rPr>
          <w:rFonts w:ascii="Verdana" w:eastAsia="Calibri" w:hAnsi="Verdana"/>
          <w:color w:val="000000" w:themeColor="text1"/>
          <w:sz w:val="22"/>
          <w:szCs w:val="22"/>
        </w:rPr>
        <w:t>.</w:t>
      </w:r>
    </w:p>
    <w:p w14:paraId="2376CF41" w14:textId="77777777" w:rsidR="00710E49" w:rsidRPr="0083451B" w:rsidRDefault="00710E49" w:rsidP="00710E49">
      <w:pPr>
        <w:pStyle w:val="ListParagraph"/>
        <w:ind w:hanging="720"/>
        <w:rPr>
          <w:rFonts w:ascii="Verdana" w:hAnsi="Verdana"/>
          <w:color w:val="000000" w:themeColor="text1"/>
          <w:sz w:val="22"/>
          <w:szCs w:val="22"/>
          <w:lang w:val="en-PH"/>
        </w:rPr>
      </w:pPr>
    </w:p>
    <w:p w14:paraId="1FF9A7D6" w14:textId="19BF9ADD" w:rsidR="00710E49" w:rsidRPr="0083451B" w:rsidRDefault="00930530" w:rsidP="0060494A">
      <w:pPr>
        <w:pStyle w:val="ListParagraph"/>
        <w:numPr>
          <w:ilvl w:val="0"/>
          <w:numId w:val="14"/>
        </w:numPr>
        <w:ind w:left="720" w:firstLine="0"/>
        <w:rPr>
          <w:rFonts w:ascii="Verdana" w:hAnsi="Verdana"/>
          <w:bCs/>
          <w:iCs/>
          <w:sz w:val="22"/>
          <w:szCs w:val="22"/>
          <w:lang w:val="en-PH"/>
        </w:rPr>
      </w:pPr>
      <w:r w:rsidRPr="0083451B">
        <w:rPr>
          <w:rFonts w:ascii="Verdana" w:hAnsi="Verdana"/>
          <w:bCs/>
          <w:iCs/>
          <w:sz w:val="22"/>
          <w:szCs w:val="22"/>
          <w:lang w:val="en-PH"/>
        </w:rPr>
        <w:t xml:space="preserve">With respect to the Nominated Power Plant, the </w:t>
      </w:r>
      <w:r w:rsidR="00710E49" w:rsidRPr="0083451B">
        <w:rPr>
          <w:rFonts w:ascii="Verdana" w:hAnsi="Verdana"/>
          <w:bCs/>
          <w:iCs/>
          <w:sz w:val="22"/>
          <w:szCs w:val="22"/>
          <w:lang w:val="en-PH"/>
        </w:rPr>
        <w:t>Bidder must provide the details of the costs of the project (the “</w:t>
      </w:r>
      <w:r w:rsidR="00710E49" w:rsidRPr="0083451B">
        <w:rPr>
          <w:rFonts w:ascii="Verdana" w:hAnsi="Verdana"/>
          <w:b/>
          <w:bCs/>
          <w:iCs/>
          <w:sz w:val="22"/>
          <w:szCs w:val="22"/>
          <w:u w:val="single"/>
          <w:lang w:val="en-PH"/>
        </w:rPr>
        <w:t>Project Cost</w:t>
      </w:r>
      <w:r w:rsidR="00710E49" w:rsidRPr="0083451B">
        <w:rPr>
          <w:rFonts w:ascii="Verdana" w:hAnsi="Verdana"/>
          <w:bCs/>
          <w:iCs/>
          <w:sz w:val="22"/>
          <w:szCs w:val="22"/>
          <w:lang w:val="en-PH"/>
        </w:rPr>
        <w:t>”) and its proposed financing plan, specifically indicating the portion of the Project Cost to be financed by debt and by equity.  Additionally, the Bidder must submit (1) in support of the portion of the Project Cost proposed to be financed by equity, a notarized letter from its shareholders confirming their respective equity commitment (each, a “</w:t>
      </w:r>
      <w:r w:rsidR="00710E49" w:rsidRPr="0083451B">
        <w:rPr>
          <w:rFonts w:ascii="Verdana" w:hAnsi="Verdana"/>
          <w:b/>
          <w:bCs/>
          <w:iCs/>
          <w:sz w:val="22"/>
          <w:szCs w:val="22"/>
          <w:u w:val="single"/>
          <w:lang w:val="en-PH"/>
        </w:rPr>
        <w:t>Commitment Letter</w:t>
      </w:r>
      <w:r w:rsidR="00710E49" w:rsidRPr="0083451B">
        <w:rPr>
          <w:rFonts w:ascii="Verdana" w:hAnsi="Verdana"/>
          <w:bCs/>
          <w:iCs/>
          <w:sz w:val="22"/>
          <w:szCs w:val="22"/>
          <w:lang w:val="en-PH"/>
        </w:rPr>
        <w:t xml:space="preserve">”); and (2) in support of the portion of the Project </w:t>
      </w:r>
      <w:r w:rsidR="00710E49" w:rsidRPr="00444C36">
        <w:rPr>
          <w:rFonts w:ascii="Verdana" w:hAnsi="Verdana"/>
          <w:bCs/>
          <w:iCs/>
          <w:sz w:val="22"/>
          <w:szCs w:val="22"/>
          <w:lang w:val="en-PH"/>
        </w:rPr>
        <w:t xml:space="preserve">Cost proposed to be financed by debt, </w:t>
      </w:r>
      <w:r w:rsidR="002E2C3C" w:rsidRPr="00444C36">
        <w:rPr>
          <w:rFonts w:ascii="Verdana" w:hAnsi="Verdana"/>
          <w:bCs/>
          <w:iCs/>
          <w:sz w:val="22"/>
          <w:szCs w:val="22"/>
          <w:lang w:val="en-PH"/>
        </w:rPr>
        <w:t xml:space="preserve">a </w:t>
      </w:r>
      <w:r w:rsidR="002E2C3C" w:rsidRPr="00444C36">
        <w:rPr>
          <w:rFonts w:ascii="Verdana" w:hAnsi="Verdana"/>
          <w:sz w:val="22"/>
          <w:szCs w:val="22"/>
        </w:rPr>
        <w:t>Testimonial from one or more debt providers or arrangers, for the amount of the Project Cost that will be funded through debt to be obtained either by the Bidder directly or through any of its direct shareholders representing Controlling interest, Affiliates or Ultimate Parent,</w:t>
      </w:r>
      <w:r w:rsidR="002E2C3C" w:rsidRPr="00444C36">
        <w:rPr>
          <w:rFonts w:ascii="Verdana" w:hAnsi="Verdana"/>
          <w:b/>
          <w:sz w:val="22"/>
          <w:szCs w:val="22"/>
        </w:rPr>
        <w:t xml:space="preserve"> </w:t>
      </w:r>
      <w:r w:rsidR="002E2C3C" w:rsidRPr="00444C36">
        <w:rPr>
          <w:rFonts w:ascii="Verdana" w:hAnsi="Verdana"/>
          <w:sz w:val="22"/>
          <w:szCs w:val="22"/>
        </w:rPr>
        <w:t>if applicable (each, a “</w:t>
      </w:r>
      <w:r w:rsidR="002E2C3C" w:rsidRPr="00444C36">
        <w:rPr>
          <w:rFonts w:ascii="Verdana" w:hAnsi="Verdana"/>
          <w:b/>
          <w:sz w:val="22"/>
          <w:szCs w:val="22"/>
          <w:u w:val="single"/>
        </w:rPr>
        <w:t>Testimonial</w:t>
      </w:r>
      <w:r w:rsidR="002E2C3C" w:rsidRPr="00444C36">
        <w:rPr>
          <w:rFonts w:ascii="Verdana" w:hAnsi="Verdana"/>
          <w:sz w:val="22"/>
          <w:szCs w:val="22"/>
        </w:rPr>
        <w:t>”).</w:t>
      </w:r>
      <w:r w:rsidR="00710E49" w:rsidRPr="0083451B">
        <w:rPr>
          <w:rFonts w:ascii="Verdana" w:hAnsi="Verdana"/>
          <w:sz w:val="22"/>
          <w:szCs w:val="22"/>
        </w:rPr>
        <w:t xml:space="preserve"> The aggregate amounts indicated in the Commitment Letters and/or the Bank </w:t>
      </w:r>
      <w:r w:rsidR="00636DB3" w:rsidRPr="0083451B">
        <w:rPr>
          <w:rFonts w:ascii="Verdana" w:hAnsi="Verdana"/>
          <w:sz w:val="22"/>
          <w:szCs w:val="22"/>
        </w:rPr>
        <w:t xml:space="preserve">Letter </w:t>
      </w:r>
      <w:r w:rsidR="00142395" w:rsidRPr="0083451B">
        <w:rPr>
          <w:rFonts w:ascii="Verdana" w:hAnsi="Verdana"/>
          <w:sz w:val="22"/>
          <w:szCs w:val="22"/>
        </w:rPr>
        <w:t xml:space="preserve">Testimonial shall in no case be </w:t>
      </w:r>
      <w:r w:rsidR="00710E49" w:rsidRPr="0083451B">
        <w:rPr>
          <w:rFonts w:ascii="Verdana" w:hAnsi="Verdana"/>
          <w:sz w:val="22"/>
          <w:szCs w:val="22"/>
        </w:rPr>
        <w:t>less than the Project Cost.</w:t>
      </w:r>
    </w:p>
    <w:bookmarkEnd w:id="3"/>
    <w:p w14:paraId="46B2AFC6" w14:textId="77777777" w:rsidR="00C4732E" w:rsidRPr="0083451B" w:rsidRDefault="00C4732E" w:rsidP="00710E49">
      <w:pPr>
        <w:rPr>
          <w:rFonts w:ascii="Verdana" w:hAnsi="Verdana"/>
          <w:bCs/>
          <w:iCs/>
          <w:sz w:val="22"/>
          <w:szCs w:val="22"/>
          <w:lang w:val="en-PH"/>
        </w:rPr>
      </w:pPr>
    </w:p>
    <w:p w14:paraId="28E50C78" w14:textId="77777777" w:rsidR="00710E49" w:rsidRPr="0083451B" w:rsidRDefault="00710E49" w:rsidP="00710E49">
      <w:pPr>
        <w:rPr>
          <w:rFonts w:ascii="Verdana" w:hAnsi="Verdana"/>
          <w:b/>
          <w:bCs/>
          <w:iCs/>
          <w:sz w:val="22"/>
          <w:szCs w:val="22"/>
          <w:u w:val="single"/>
          <w:lang w:val="en-PH"/>
        </w:rPr>
      </w:pPr>
      <w:r w:rsidRPr="0083451B">
        <w:rPr>
          <w:rFonts w:ascii="Verdana" w:hAnsi="Verdana"/>
          <w:b/>
          <w:bCs/>
          <w:iCs/>
          <w:sz w:val="22"/>
          <w:szCs w:val="22"/>
          <w:u w:val="single"/>
          <w:lang w:val="en-PH"/>
        </w:rPr>
        <w:t>Technical Proposal (Envelope 2)</w:t>
      </w:r>
    </w:p>
    <w:p w14:paraId="761C122F" w14:textId="77777777" w:rsidR="00710E49" w:rsidRPr="0083451B" w:rsidRDefault="00710E49" w:rsidP="00710E49">
      <w:pPr>
        <w:rPr>
          <w:rFonts w:ascii="Verdana" w:hAnsi="Verdana"/>
          <w:bCs/>
          <w:iCs/>
          <w:sz w:val="22"/>
          <w:szCs w:val="22"/>
          <w:lang w:val="en-PH"/>
        </w:rPr>
      </w:pPr>
    </w:p>
    <w:p w14:paraId="2DF296ED" w14:textId="73ED4DFB" w:rsidR="00710E49" w:rsidRPr="0083451B" w:rsidRDefault="00930530" w:rsidP="0060494A">
      <w:pPr>
        <w:pStyle w:val="ListParagraph"/>
        <w:ind w:left="0"/>
        <w:rPr>
          <w:rFonts w:ascii="Verdana" w:hAnsi="Verdana"/>
          <w:bCs/>
          <w:iCs/>
          <w:sz w:val="22"/>
          <w:szCs w:val="22"/>
          <w:lang w:val="en-PH"/>
        </w:rPr>
      </w:pPr>
      <w:bookmarkStart w:id="18" w:name="_Hlk10723961"/>
      <w:r w:rsidRPr="0083451B">
        <w:rPr>
          <w:rFonts w:ascii="Verdana" w:hAnsi="Verdana"/>
          <w:bCs/>
          <w:iCs/>
          <w:sz w:val="22"/>
          <w:szCs w:val="22"/>
          <w:lang w:val="en-PH"/>
        </w:rPr>
        <w:t xml:space="preserve">In </w:t>
      </w:r>
      <w:r w:rsidR="00710E49" w:rsidRPr="0083451B">
        <w:rPr>
          <w:rFonts w:ascii="Verdana" w:hAnsi="Verdana"/>
          <w:bCs/>
          <w:iCs/>
          <w:sz w:val="22"/>
          <w:szCs w:val="22"/>
          <w:lang w:val="en-PH"/>
        </w:rPr>
        <w:t>relation to the Nominated Power Plant</w:t>
      </w:r>
      <w:r w:rsidR="00387465">
        <w:rPr>
          <w:rFonts w:ascii="Verdana" w:hAnsi="Verdana"/>
          <w:bCs/>
          <w:iCs/>
          <w:sz w:val="22"/>
          <w:szCs w:val="22"/>
          <w:lang w:val="en-PH"/>
        </w:rPr>
        <w:t xml:space="preserve"> and/or portfolio of plant/s</w:t>
      </w:r>
      <w:r w:rsidR="00710E49" w:rsidRPr="0083451B">
        <w:rPr>
          <w:rFonts w:ascii="Verdana" w:hAnsi="Verdana"/>
          <w:bCs/>
          <w:iCs/>
          <w:sz w:val="22"/>
          <w:szCs w:val="22"/>
          <w:lang w:val="en-PH"/>
        </w:rPr>
        <w:t>, the Bidder must provide</w:t>
      </w:r>
      <w:r w:rsidR="00387465">
        <w:rPr>
          <w:rFonts w:ascii="Verdana" w:hAnsi="Verdana"/>
          <w:bCs/>
          <w:iCs/>
          <w:sz w:val="22"/>
          <w:szCs w:val="22"/>
          <w:lang w:val="en-PH"/>
        </w:rPr>
        <w:t xml:space="preserve"> (for each Plant)</w:t>
      </w:r>
      <w:r w:rsidR="00710E49" w:rsidRPr="0083451B">
        <w:rPr>
          <w:rFonts w:ascii="Verdana" w:hAnsi="Verdana"/>
          <w:bCs/>
          <w:iCs/>
          <w:sz w:val="22"/>
          <w:szCs w:val="22"/>
          <w:lang w:val="en-PH"/>
        </w:rPr>
        <w:t xml:space="preserve">: </w:t>
      </w:r>
    </w:p>
    <w:p w14:paraId="4E94D3B2" w14:textId="77777777" w:rsidR="00710E49" w:rsidRPr="0083451B" w:rsidRDefault="00710E49" w:rsidP="00710E49">
      <w:pPr>
        <w:pStyle w:val="ListParagraph"/>
        <w:ind w:left="1440"/>
        <w:rPr>
          <w:rFonts w:ascii="Verdana" w:hAnsi="Verdana"/>
          <w:bCs/>
          <w:iCs/>
          <w:sz w:val="22"/>
          <w:szCs w:val="22"/>
          <w:lang w:val="en-PH"/>
        </w:rPr>
      </w:pPr>
      <w:bookmarkStart w:id="19" w:name="_Hlk10723932"/>
    </w:p>
    <w:p w14:paraId="46EE90FC" w14:textId="691BC108" w:rsidR="00710E49" w:rsidRPr="00444C36" w:rsidRDefault="00710E49" w:rsidP="00710E49">
      <w:pPr>
        <w:pStyle w:val="ListParagraph"/>
        <w:numPr>
          <w:ilvl w:val="3"/>
          <w:numId w:val="6"/>
        </w:numPr>
        <w:ind w:left="720"/>
        <w:rPr>
          <w:rFonts w:ascii="Verdana" w:hAnsi="Verdana"/>
          <w:bCs/>
          <w:iCs/>
          <w:sz w:val="22"/>
          <w:szCs w:val="22"/>
          <w:lang w:val="en-PH"/>
        </w:rPr>
      </w:pPr>
      <w:r w:rsidRPr="0083451B">
        <w:rPr>
          <w:rFonts w:ascii="Verdana" w:hAnsi="Verdana"/>
          <w:bCs/>
          <w:iCs/>
          <w:sz w:val="22"/>
          <w:szCs w:val="22"/>
          <w:lang w:val="en-PH"/>
        </w:rPr>
        <w:t xml:space="preserve">Evidence </w:t>
      </w:r>
      <w:r w:rsidR="00342CC1" w:rsidRPr="0083451B">
        <w:rPr>
          <w:rFonts w:ascii="Verdana" w:hAnsi="Verdana"/>
          <w:bCs/>
          <w:iCs/>
          <w:sz w:val="22"/>
          <w:szCs w:val="22"/>
          <w:lang w:val="en-PH"/>
        </w:rPr>
        <w:t>of</w:t>
      </w:r>
      <w:r w:rsidRPr="0083451B">
        <w:rPr>
          <w:rFonts w:ascii="Verdana" w:hAnsi="Verdana"/>
          <w:bCs/>
          <w:iCs/>
          <w:sz w:val="22"/>
          <w:szCs w:val="22"/>
          <w:lang w:val="en-PH"/>
        </w:rPr>
        <w:t xml:space="preserve"> land acquisition or legal possession</w:t>
      </w:r>
      <w:r w:rsidR="00342CC1" w:rsidRPr="0083451B">
        <w:rPr>
          <w:rFonts w:ascii="Verdana" w:hAnsi="Verdana"/>
          <w:bCs/>
          <w:iCs/>
          <w:sz w:val="22"/>
          <w:szCs w:val="22"/>
          <w:lang w:val="en-PH"/>
        </w:rPr>
        <w:t xml:space="preserve"> of the </w:t>
      </w:r>
      <w:r w:rsidR="0025133D" w:rsidRPr="0083451B">
        <w:rPr>
          <w:rFonts w:ascii="Verdana" w:hAnsi="Verdana"/>
          <w:bCs/>
          <w:iCs/>
          <w:sz w:val="22"/>
          <w:szCs w:val="22"/>
          <w:lang w:val="en-PH"/>
        </w:rPr>
        <w:t xml:space="preserve">proposed </w:t>
      </w:r>
      <w:r w:rsidR="00342CC1" w:rsidRPr="0083451B">
        <w:rPr>
          <w:rFonts w:ascii="Verdana" w:hAnsi="Verdana"/>
          <w:bCs/>
          <w:iCs/>
          <w:sz w:val="22"/>
          <w:szCs w:val="22"/>
          <w:lang w:val="en-PH"/>
        </w:rPr>
        <w:t>site/s</w:t>
      </w:r>
      <w:r w:rsidRPr="0083451B">
        <w:rPr>
          <w:rFonts w:ascii="Verdana" w:hAnsi="Verdana"/>
          <w:bCs/>
          <w:iCs/>
          <w:sz w:val="22"/>
          <w:szCs w:val="22"/>
          <w:lang w:val="en-PH"/>
        </w:rPr>
        <w:t xml:space="preserve">, showing that </w:t>
      </w:r>
      <w:r w:rsidR="00342CC1" w:rsidRPr="0083451B">
        <w:rPr>
          <w:rFonts w:ascii="Verdana" w:hAnsi="Verdana"/>
          <w:bCs/>
          <w:iCs/>
          <w:sz w:val="22"/>
          <w:szCs w:val="22"/>
          <w:lang w:val="en-PH"/>
        </w:rPr>
        <w:t xml:space="preserve">Bidder </w:t>
      </w:r>
      <w:r w:rsidRPr="0083451B">
        <w:rPr>
          <w:rFonts w:ascii="Verdana" w:hAnsi="Verdana"/>
          <w:bCs/>
          <w:iCs/>
          <w:sz w:val="22"/>
          <w:szCs w:val="22"/>
          <w:lang w:val="en-PH"/>
        </w:rPr>
        <w:t xml:space="preserve">will be able to acquire ownership or legal possession of the right, title or interest </w:t>
      </w:r>
      <w:r w:rsidR="00342CC1" w:rsidRPr="00444C36">
        <w:rPr>
          <w:rFonts w:ascii="Verdana" w:hAnsi="Verdana"/>
          <w:bCs/>
          <w:iCs/>
          <w:sz w:val="22"/>
          <w:szCs w:val="22"/>
          <w:lang w:val="en-PH"/>
        </w:rPr>
        <w:t>there</w:t>
      </w:r>
      <w:r w:rsidRPr="00444C36">
        <w:rPr>
          <w:rFonts w:ascii="Verdana" w:hAnsi="Verdana"/>
          <w:bCs/>
          <w:iCs/>
          <w:sz w:val="22"/>
          <w:szCs w:val="22"/>
          <w:lang w:val="en-PH"/>
        </w:rPr>
        <w:t xml:space="preserve">in; </w:t>
      </w:r>
    </w:p>
    <w:p w14:paraId="493CE30C" w14:textId="77777777" w:rsidR="00710E49" w:rsidRPr="00444C36" w:rsidRDefault="00710E49" w:rsidP="00710E49">
      <w:pPr>
        <w:pStyle w:val="ListParagraph"/>
        <w:rPr>
          <w:rFonts w:ascii="Verdana" w:hAnsi="Verdana"/>
          <w:bCs/>
          <w:iCs/>
          <w:sz w:val="22"/>
          <w:szCs w:val="22"/>
          <w:lang w:val="en-PH"/>
        </w:rPr>
      </w:pPr>
    </w:p>
    <w:p w14:paraId="3FDF127C" w14:textId="790CB9FC" w:rsidR="00710E49" w:rsidRPr="00444C36" w:rsidRDefault="0029196B" w:rsidP="00710E49">
      <w:pPr>
        <w:pStyle w:val="ListParagraph"/>
        <w:numPr>
          <w:ilvl w:val="3"/>
          <w:numId w:val="6"/>
        </w:numPr>
        <w:ind w:left="720"/>
        <w:rPr>
          <w:rFonts w:ascii="Verdana" w:hAnsi="Verdana"/>
          <w:bCs/>
          <w:iCs/>
          <w:sz w:val="22"/>
          <w:szCs w:val="22"/>
          <w:lang w:val="en-PH"/>
        </w:rPr>
      </w:pPr>
      <w:r w:rsidRPr="00444C36">
        <w:rPr>
          <w:rFonts w:ascii="Verdana" w:hAnsi="Verdana"/>
          <w:bCs/>
          <w:iCs/>
          <w:sz w:val="22"/>
          <w:szCs w:val="22"/>
          <w:lang w:val="en-PH"/>
        </w:rPr>
        <w:t>Technical characteristics of the Plant showing e</w:t>
      </w:r>
      <w:r w:rsidR="00B63271" w:rsidRPr="00444C36">
        <w:rPr>
          <w:rFonts w:ascii="Verdana" w:hAnsi="Verdana"/>
          <w:bCs/>
          <w:iCs/>
          <w:sz w:val="22"/>
          <w:szCs w:val="22"/>
          <w:lang w:val="en-PH"/>
        </w:rPr>
        <w:t xml:space="preserve">vidence </w:t>
      </w:r>
      <w:r w:rsidR="0025133D" w:rsidRPr="00444C36">
        <w:rPr>
          <w:rFonts w:ascii="Verdana" w:hAnsi="Verdana"/>
          <w:bCs/>
          <w:iCs/>
          <w:sz w:val="22"/>
          <w:szCs w:val="22"/>
          <w:lang w:val="en-PH"/>
        </w:rPr>
        <w:t>of</w:t>
      </w:r>
      <w:r w:rsidR="00710E49" w:rsidRPr="00444C36">
        <w:rPr>
          <w:rFonts w:ascii="Verdana" w:hAnsi="Verdana"/>
          <w:bCs/>
          <w:iCs/>
          <w:sz w:val="22"/>
          <w:szCs w:val="22"/>
          <w:lang w:val="en-PH"/>
        </w:rPr>
        <w:t xml:space="preserve"> complian</w:t>
      </w:r>
      <w:r w:rsidR="0025133D" w:rsidRPr="00444C36">
        <w:rPr>
          <w:rFonts w:ascii="Verdana" w:hAnsi="Verdana"/>
          <w:bCs/>
          <w:iCs/>
          <w:sz w:val="22"/>
          <w:szCs w:val="22"/>
          <w:lang w:val="en-PH"/>
        </w:rPr>
        <w:t>ce</w:t>
      </w:r>
      <w:r w:rsidR="00710E49" w:rsidRPr="00444C36">
        <w:rPr>
          <w:rFonts w:ascii="Verdana" w:hAnsi="Verdana"/>
          <w:bCs/>
          <w:iCs/>
          <w:sz w:val="22"/>
          <w:szCs w:val="22"/>
          <w:lang w:val="en-PH"/>
        </w:rPr>
        <w:t xml:space="preserve"> to the </w:t>
      </w:r>
      <w:r w:rsidR="009729F1" w:rsidRPr="00444C36">
        <w:rPr>
          <w:rFonts w:ascii="Verdana" w:hAnsi="Verdana"/>
          <w:bCs/>
          <w:iCs/>
          <w:sz w:val="22"/>
          <w:szCs w:val="22"/>
          <w:lang w:val="en-PH"/>
        </w:rPr>
        <w:t xml:space="preserve">technical </w:t>
      </w:r>
      <w:r w:rsidR="00710E49" w:rsidRPr="00444C36">
        <w:rPr>
          <w:rFonts w:ascii="Verdana" w:hAnsi="Verdana"/>
          <w:bCs/>
          <w:iCs/>
          <w:sz w:val="22"/>
          <w:szCs w:val="22"/>
          <w:lang w:val="en-PH"/>
        </w:rPr>
        <w:t xml:space="preserve">requirements stated in the </w:t>
      </w:r>
      <w:r w:rsidR="00710E49" w:rsidRPr="00444C36">
        <w:rPr>
          <w:rFonts w:ascii="Verdana" w:hAnsi="Verdana"/>
          <w:bCs/>
          <w:color w:val="000000" w:themeColor="text1"/>
          <w:sz w:val="22"/>
          <w:szCs w:val="22"/>
          <w:lang w:val="en-PH"/>
        </w:rPr>
        <w:t>Invitation to Bid’s Terms of Reference Table (</w:t>
      </w:r>
      <w:r w:rsidR="00B63271" w:rsidRPr="00444C36">
        <w:rPr>
          <w:rFonts w:ascii="Verdana" w:hAnsi="Verdana"/>
          <w:bCs/>
          <w:color w:val="000000" w:themeColor="text1"/>
          <w:sz w:val="22"/>
          <w:szCs w:val="22"/>
          <w:lang w:val="en-PH"/>
        </w:rPr>
        <w:t>“</w:t>
      </w:r>
      <w:r w:rsidR="00710E49" w:rsidRPr="00444C36">
        <w:rPr>
          <w:rFonts w:ascii="Verdana" w:hAnsi="Verdana"/>
          <w:b/>
          <w:bCs/>
          <w:color w:val="000000" w:themeColor="text1"/>
          <w:sz w:val="22"/>
          <w:szCs w:val="22"/>
          <w:u w:val="single"/>
          <w:lang w:val="en-PH"/>
        </w:rPr>
        <w:t>TOR Table</w:t>
      </w:r>
      <w:r w:rsidR="00B63271" w:rsidRPr="00444C36">
        <w:rPr>
          <w:rFonts w:ascii="Verdana" w:hAnsi="Verdana"/>
          <w:bCs/>
          <w:color w:val="000000" w:themeColor="text1"/>
          <w:sz w:val="22"/>
          <w:szCs w:val="22"/>
          <w:lang w:val="en-PH"/>
        </w:rPr>
        <w:t>”</w:t>
      </w:r>
      <w:r w:rsidR="00710E49" w:rsidRPr="00444C36">
        <w:rPr>
          <w:rFonts w:ascii="Verdana" w:hAnsi="Verdana"/>
          <w:bCs/>
          <w:color w:val="000000" w:themeColor="text1"/>
          <w:sz w:val="22"/>
          <w:szCs w:val="22"/>
          <w:lang w:val="en-PH"/>
        </w:rPr>
        <w:t>);</w:t>
      </w:r>
    </w:p>
    <w:p w14:paraId="6BD4F1B1" w14:textId="77777777" w:rsidR="00710E49" w:rsidRPr="00444C36" w:rsidRDefault="00710E49" w:rsidP="00710E49">
      <w:pPr>
        <w:pStyle w:val="ListParagraph"/>
        <w:rPr>
          <w:rFonts w:ascii="Verdana" w:hAnsi="Verdana"/>
          <w:bCs/>
          <w:iCs/>
          <w:sz w:val="22"/>
          <w:szCs w:val="22"/>
          <w:lang w:val="en-PH"/>
        </w:rPr>
      </w:pPr>
    </w:p>
    <w:p w14:paraId="427DAE1A" w14:textId="327B3492" w:rsidR="00846D22" w:rsidRPr="0083451B" w:rsidRDefault="00846D22" w:rsidP="00E978BC">
      <w:pPr>
        <w:pStyle w:val="ListParagraph"/>
        <w:numPr>
          <w:ilvl w:val="3"/>
          <w:numId w:val="6"/>
        </w:numPr>
        <w:ind w:left="720"/>
        <w:rPr>
          <w:rFonts w:ascii="Verdana" w:hAnsi="Verdana"/>
          <w:bCs/>
          <w:iCs/>
          <w:sz w:val="22"/>
          <w:szCs w:val="22"/>
          <w:lang w:val="en-PH"/>
        </w:rPr>
      </w:pPr>
      <w:r w:rsidRPr="00444C36">
        <w:rPr>
          <w:rFonts w:ascii="Verdana" w:hAnsi="Verdana"/>
          <w:bCs/>
          <w:iCs/>
          <w:sz w:val="22"/>
          <w:szCs w:val="22"/>
          <w:lang w:val="en-PH"/>
        </w:rPr>
        <w:lastRenderedPageBreak/>
        <w:t>The Bidder shall provide a description</w:t>
      </w:r>
      <w:r w:rsidR="009862D7" w:rsidRPr="00444C36">
        <w:rPr>
          <w:rFonts w:ascii="Verdana" w:hAnsi="Verdana"/>
          <w:bCs/>
          <w:iCs/>
          <w:sz w:val="22"/>
          <w:szCs w:val="22"/>
          <w:lang w:val="en-PH"/>
        </w:rPr>
        <w:t>, for the Nominated Power Plant,</w:t>
      </w:r>
      <w:r w:rsidRPr="00444C36">
        <w:rPr>
          <w:rFonts w:ascii="Verdana" w:hAnsi="Verdana"/>
          <w:bCs/>
          <w:iCs/>
          <w:sz w:val="22"/>
          <w:szCs w:val="22"/>
          <w:lang w:val="en-PH"/>
        </w:rPr>
        <w:t xml:space="preserve"> of its use of </w:t>
      </w:r>
      <w:r w:rsidR="00FC0178" w:rsidRPr="00444C36">
        <w:rPr>
          <w:rFonts w:ascii="Verdana" w:hAnsi="Verdana"/>
          <w:bCs/>
          <w:iCs/>
          <w:sz w:val="22"/>
          <w:szCs w:val="22"/>
          <w:lang w:val="en-PH"/>
        </w:rPr>
        <w:t xml:space="preserve">a </w:t>
      </w:r>
      <w:r w:rsidRPr="00444C36">
        <w:rPr>
          <w:rFonts w:ascii="Verdana" w:hAnsi="Verdana"/>
          <w:bCs/>
          <w:iCs/>
          <w:sz w:val="22"/>
          <w:szCs w:val="22"/>
          <w:lang w:val="en-PH"/>
        </w:rPr>
        <w:t xml:space="preserve">technology </w:t>
      </w:r>
      <w:bookmarkStart w:id="20" w:name="_Hlk20499240"/>
      <w:bookmarkStart w:id="21" w:name="_Hlk19792542"/>
      <w:r w:rsidR="00AA754B" w:rsidRPr="00444C36">
        <w:rPr>
          <w:rFonts w:ascii="Verdana" w:hAnsi="Verdana"/>
          <w:sz w:val="22"/>
          <w:szCs w:val="22"/>
        </w:rPr>
        <w:t xml:space="preserve">that complies </w:t>
      </w:r>
      <w:r w:rsidR="009862D7" w:rsidRPr="00444C36">
        <w:rPr>
          <w:rFonts w:ascii="Verdana" w:hAnsi="Verdana"/>
          <w:sz w:val="22"/>
          <w:szCs w:val="22"/>
        </w:rPr>
        <w:t>with the prevailing emission standards under pertinent DENR issuances on emission and other environmental standards for power plants</w:t>
      </w:r>
      <w:bookmarkEnd w:id="20"/>
      <w:bookmarkEnd w:id="21"/>
      <w:r w:rsidRPr="00444C36">
        <w:rPr>
          <w:rFonts w:ascii="Verdana" w:hAnsi="Verdana"/>
          <w:bCs/>
          <w:iCs/>
          <w:sz w:val="22"/>
          <w:szCs w:val="22"/>
          <w:lang w:val="en-PH"/>
        </w:rPr>
        <w:t>. The Bidder shall provide convincing proof that the key components of the Nominated Power Plant (e.g., boiler, turbine and generator) be of proven design and technology, which means that generating facility elements of similar design must have been engaged in reliable commercial operation for at least one (1) year in a 60 Hertz system</w:t>
      </w:r>
      <w:r w:rsidR="00240E69" w:rsidRPr="00444C36">
        <w:rPr>
          <w:rFonts w:ascii="Verdana" w:hAnsi="Verdana"/>
          <w:bCs/>
          <w:iCs/>
          <w:sz w:val="22"/>
          <w:szCs w:val="22"/>
          <w:lang w:val="en-PH"/>
        </w:rPr>
        <w:t xml:space="preserve"> </w:t>
      </w:r>
      <w:bookmarkStart w:id="22" w:name="_Hlk19792591"/>
      <w:r w:rsidR="00240E69" w:rsidRPr="00444C36">
        <w:rPr>
          <w:rFonts w:ascii="Verdana" w:hAnsi="Verdana"/>
          <w:bCs/>
          <w:iCs/>
          <w:sz w:val="22"/>
          <w:szCs w:val="22"/>
          <w:lang w:val="en-PH"/>
        </w:rPr>
        <w:t>(“</w:t>
      </w:r>
      <w:r w:rsidR="00240E69" w:rsidRPr="00444C36">
        <w:rPr>
          <w:rFonts w:ascii="Verdana" w:hAnsi="Verdana"/>
          <w:b/>
          <w:bCs/>
          <w:iCs/>
          <w:sz w:val="22"/>
          <w:szCs w:val="22"/>
          <w:lang w:val="en-PH"/>
        </w:rPr>
        <w:t>Comparable Plant</w:t>
      </w:r>
      <w:r w:rsidR="00240E69" w:rsidRPr="00444C36">
        <w:rPr>
          <w:rFonts w:ascii="Verdana" w:hAnsi="Verdana"/>
          <w:bCs/>
          <w:iCs/>
          <w:sz w:val="22"/>
          <w:szCs w:val="22"/>
          <w:lang w:val="en-PH"/>
        </w:rPr>
        <w:t>”)</w:t>
      </w:r>
      <w:r w:rsidRPr="00444C36">
        <w:rPr>
          <w:rFonts w:ascii="Verdana" w:hAnsi="Verdana"/>
          <w:bCs/>
          <w:iCs/>
          <w:sz w:val="22"/>
          <w:szCs w:val="22"/>
          <w:lang w:val="en-PH"/>
        </w:rPr>
        <w:t xml:space="preserve">. </w:t>
      </w:r>
      <w:r w:rsidR="000000F2" w:rsidRPr="00444C36">
        <w:rPr>
          <w:rFonts w:ascii="Verdana" w:hAnsi="Verdana"/>
          <w:bCs/>
          <w:iCs/>
          <w:sz w:val="22"/>
          <w:szCs w:val="22"/>
          <w:lang w:val="en-PH"/>
        </w:rPr>
        <w:t xml:space="preserve">The Comparable Plant </w:t>
      </w:r>
      <w:bookmarkEnd w:id="22"/>
      <w:r w:rsidRPr="00444C36">
        <w:rPr>
          <w:rFonts w:ascii="Verdana" w:hAnsi="Verdana"/>
          <w:bCs/>
          <w:iCs/>
          <w:sz w:val="22"/>
          <w:szCs w:val="22"/>
          <w:lang w:val="en-PH"/>
        </w:rPr>
        <w:t xml:space="preserve">will be considered to have been in “reliable” commercial operation for the purposes of this requirement </w:t>
      </w:r>
      <w:r w:rsidR="00EA3F70" w:rsidRPr="00444C36">
        <w:rPr>
          <w:rFonts w:ascii="Verdana" w:hAnsi="Verdana"/>
          <w:bCs/>
          <w:iCs/>
          <w:sz w:val="22"/>
          <w:szCs w:val="22"/>
          <w:lang w:val="en-PH"/>
        </w:rPr>
        <w:t>once the</w:t>
      </w:r>
      <w:r w:rsidRPr="00444C36">
        <w:rPr>
          <w:rFonts w:ascii="Verdana" w:hAnsi="Verdana"/>
          <w:bCs/>
          <w:iCs/>
          <w:sz w:val="22"/>
          <w:szCs w:val="22"/>
          <w:lang w:val="en-PH"/>
        </w:rPr>
        <w:t xml:space="preserve"> TPBAC’s independent engineer determines</w:t>
      </w:r>
      <w:r w:rsidR="00EA3F70" w:rsidRPr="00444C36">
        <w:rPr>
          <w:rFonts w:ascii="Verdana" w:hAnsi="Verdana"/>
          <w:bCs/>
          <w:iCs/>
          <w:sz w:val="22"/>
          <w:szCs w:val="22"/>
          <w:lang w:val="en-PH"/>
        </w:rPr>
        <w:t xml:space="preserve"> and certifies</w:t>
      </w:r>
      <w:r w:rsidRPr="0083451B">
        <w:rPr>
          <w:rFonts w:ascii="Verdana" w:hAnsi="Verdana"/>
          <w:bCs/>
          <w:iCs/>
          <w:sz w:val="22"/>
          <w:szCs w:val="22"/>
          <w:lang w:val="en-PH"/>
        </w:rPr>
        <w:t xml:space="preserve"> that the equipment proposed has an average forced outage factor that has not been above five percent (5%) and its average Unit equivalent availability factor has not been below eighty seven percent (87%) for the duration of the commercial operation period except in a y</w:t>
      </w:r>
      <w:r w:rsidR="00D45251" w:rsidRPr="0083451B">
        <w:rPr>
          <w:rFonts w:ascii="Verdana" w:hAnsi="Verdana"/>
          <w:bCs/>
          <w:iCs/>
          <w:sz w:val="22"/>
          <w:szCs w:val="22"/>
          <w:lang w:val="en-PH"/>
        </w:rPr>
        <w:t>ear of a major planned overhaul;</w:t>
      </w:r>
      <w:r w:rsidRPr="0083451B">
        <w:rPr>
          <w:rFonts w:ascii="Verdana" w:hAnsi="Verdana"/>
          <w:bCs/>
          <w:iCs/>
          <w:sz w:val="22"/>
          <w:szCs w:val="22"/>
          <w:lang w:val="en-PH"/>
        </w:rPr>
        <w:t xml:space="preserve"> </w:t>
      </w:r>
    </w:p>
    <w:p w14:paraId="7DDD4929" w14:textId="77777777" w:rsidR="00846D22" w:rsidRPr="0083451B" w:rsidRDefault="00846D22" w:rsidP="00E978BC">
      <w:pPr>
        <w:pStyle w:val="ListParagraph"/>
        <w:rPr>
          <w:rFonts w:ascii="Verdana" w:hAnsi="Verdana"/>
          <w:bCs/>
          <w:iCs/>
          <w:sz w:val="22"/>
          <w:szCs w:val="22"/>
          <w:lang w:val="en-PH"/>
        </w:rPr>
      </w:pPr>
    </w:p>
    <w:p w14:paraId="78D5C559" w14:textId="7C647B70" w:rsidR="00D6050C" w:rsidRPr="0083451B" w:rsidRDefault="00710E49" w:rsidP="00D6050C">
      <w:pPr>
        <w:pStyle w:val="ListParagraph"/>
        <w:numPr>
          <w:ilvl w:val="3"/>
          <w:numId w:val="6"/>
        </w:numPr>
        <w:ind w:left="720"/>
        <w:rPr>
          <w:rFonts w:ascii="Verdana" w:hAnsi="Verdana"/>
          <w:bCs/>
          <w:iCs/>
          <w:sz w:val="22"/>
          <w:szCs w:val="22"/>
          <w:lang w:val="en-PH"/>
        </w:rPr>
      </w:pPr>
      <w:r w:rsidRPr="0083451B">
        <w:rPr>
          <w:rFonts w:ascii="Verdana" w:hAnsi="Verdana"/>
          <w:bCs/>
          <w:iCs/>
          <w:sz w:val="22"/>
          <w:szCs w:val="22"/>
          <w:lang w:val="en-PH"/>
        </w:rPr>
        <w:t xml:space="preserve">Details of the Project’s execution, where the Bidder shall provide a description on how </w:t>
      </w:r>
      <w:r w:rsidR="00ED39F1" w:rsidRPr="0083451B">
        <w:rPr>
          <w:rFonts w:ascii="Verdana" w:hAnsi="Verdana"/>
          <w:bCs/>
          <w:iCs/>
          <w:sz w:val="22"/>
          <w:szCs w:val="22"/>
          <w:lang w:val="en-PH"/>
        </w:rPr>
        <w:t>it</w:t>
      </w:r>
      <w:r w:rsidRPr="0083451B">
        <w:rPr>
          <w:rFonts w:ascii="Verdana" w:hAnsi="Verdana"/>
          <w:bCs/>
          <w:iCs/>
          <w:sz w:val="22"/>
          <w:szCs w:val="22"/>
          <w:lang w:val="en-PH"/>
        </w:rPr>
        <w:t xml:space="preserve"> will carry out the development, financing, construction, interconnection, operation, and maintenance of the Nominated Power Plant, including but not limited to general information on the Nominated Power Plant and its key components (e.g., boiler, turbine and generator), such as the design data (e.g., type, including specific fuel, heat rate at 100% Load Factor, number of units, and capacity), proposed plant site/s, and proposed interconnection site/s; the key project milestone schedule, if available; and the details on the development, engineering, procurement and construction plan of the Nominated Power Plant;</w:t>
      </w:r>
    </w:p>
    <w:p w14:paraId="2247969D" w14:textId="10F9BC83" w:rsidR="00D6050C" w:rsidRPr="0083451B" w:rsidRDefault="00D6050C" w:rsidP="00283C89">
      <w:pPr>
        <w:pStyle w:val="ListParagraph"/>
        <w:rPr>
          <w:rFonts w:ascii="Verdana" w:hAnsi="Verdana"/>
          <w:bCs/>
          <w:iCs/>
          <w:sz w:val="22"/>
          <w:szCs w:val="22"/>
          <w:lang w:val="en-PH"/>
        </w:rPr>
      </w:pPr>
    </w:p>
    <w:p w14:paraId="3CB11F4D" w14:textId="38B5CABD" w:rsidR="00846D22" w:rsidRPr="00444C36" w:rsidRDefault="00846D22" w:rsidP="00846D22">
      <w:pPr>
        <w:pStyle w:val="ListParagraph"/>
        <w:numPr>
          <w:ilvl w:val="3"/>
          <w:numId w:val="6"/>
        </w:numPr>
        <w:ind w:left="720"/>
        <w:rPr>
          <w:rFonts w:ascii="Verdana" w:hAnsi="Verdana"/>
          <w:bCs/>
          <w:iCs/>
          <w:sz w:val="22"/>
          <w:szCs w:val="22"/>
          <w:lang w:val="en-PH"/>
        </w:rPr>
      </w:pPr>
      <w:r w:rsidRPr="0083451B">
        <w:rPr>
          <w:rFonts w:ascii="Verdana" w:hAnsi="Verdana"/>
          <w:bCs/>
          <w:iCs/>
          <w:sz w:val="22"/>
          <w:szCs w:val="22"/>
          <w:lang w:val="en-PH"/>
        </w:rPr>
        <w:t xml:space="preserve">The Bidder shall submit a certified statement that the Nominated Power Plant is capable of operating </w:t>
      </w:r>
      <w:r w:rsidRPr="00444C36">
        <w:rPr>
          <w:rFonts w:ascii="Verdana" w:hAnsi="Verdana"/>
          <w:bCs/>
          <w:iCs/>
          <w:sz w:val="22"/>
          <w:szCs w:val="22"/>
          <w:lang w:val="en-PH"/>
        </w:rPr>
        <w:t>consistent with the Performance Guarant</w:t>
      </w:r>
      <w:r w:rsidR="002673E4" w:rsidRPr="00444C36">
        <w:rPr>
          <w:rFonts w:ascii="Verdana" w:hAnsi="Verdana"/>
          <w:bCs/>
          <w:iCs/>
          <w:sz w:val="22"/>
          <w:szCs w:val="22"/>
          <w:lang w:val="en-PH"/>
        </w:rPr>
        <w:t>e</w:t>
      </w:r>
      <w:r w:rsidR="00D45251" w:rsidRPr="00444C36">
        <w:rPr>
          <w:rFonts w:ascii="Verdana" w:hAnsi="Verdana"/>
          <w:bCs/>
          <w:iCs/>
          <w:sz w:val="22"/>
          <w:szCs w:val="22"/>
          <w:lang w:val="en-PH"/>
        </w:rPr>
        <w:t>es;</w:t>
      </w:r>
      <w:r w:rsidRPr="00444C36">
        <w:rPr>
          <w:rFonts w:ascii="Verdana" w:hAnsi="Verdana"/>
          <w:bCs/>
          <w:iCs/>
          <w:sz w:val="22"/>
          <w:szCs w:val="22"/>
          <w:lang w:val="en-PH"/>
        </w:rPr>
        <w:t xml:space="preserve"> </w:t>
      </w:r>
    </w:p>
    <w:p w14:paraId="720AAAEE" w14:textId="77777777" w:rsidR="00846D22" w:rsidRPr="00444C36" w:rsidRDefault="00846D22" w:rsidP="00846D22">
      <w:pPr>
        <w:pStyle w:val="ListParagraph"/>
        <w:rPr>
          <w:rFonts w:ascii="Verdana" w:hAnsi="Verdana"/>
          <w:bCs/>
          <w:iCs/>
          <w:sz w:val="22"/>
          <w:szCs w:val="22"/>
          <w:lang w:val="en-PH"/>
        </w:rPr>
      </w:pPr>
    </w:p>
    <w:p w14:paraId="0ADF6CE9" w14:textId="77777777" w:rsidR="008C57EB" w:rsidRPr="00444C36" w:rsidRDefault="005767F6" w:rsidP="0083451B">
      <w:pPr>
        <w:pStyle w:val="ListParagraph"/>
        <w:numPr>
          <w:ilvl w:val="2"/>
          <w:numId w:val="19"/>
        </w:numPr>
        <w:ind w:left="720" w:hanging="720"/>
        <w:rPr>
          <w:rFonts w:ascii="Verdana" w:hAnsi="Verdana"/>
          <w:sz w:val="22"/>
          <w:szCs w:val="22"/>
          <w:lang w:val="en-PH"/>
        </w:rPr>
      </w:pPr>
      <w:bookmarkStart w:id="23" w:name="_Hlk19792811"/>
      <w:r w:rsidRPr="00444C36">
        <w:rPr>
          <w:rFonts w:ascii="Verdana" w:hAnsi="Verdana"/>
          <w:sz w:val="22"/>
          <w:szCs w:val="22"/>
          <w:lang w:val="en-PH"/>
        </w:rPr>
        <w:t xml:space="preserve">The </w:t>
      </w:r>
      <w:r w:rsidR="00D118A9" w:rsidRPr="00444C36">
        <w:rPr>
          <w:rFonts w:ascii="Verdana" w:hAnsi="Verdana"/>
          <w:sz w:val="22"/>
          <w:szCs w:val="22"/>
          <w:lang w:val="en-PH"/>
        </w:rPr>
        <w:t xml:space="preserve">Bidder shall </w:t>
      </w:r>
      <w:r w:rsidR="00F227BA" w:rsidRPr="00444C36">
        <w:rPr>
          <w:rFonts w:ascii="Verdana" w:hAnsi="Verdana"/>
          <w:sz w:val="22"/>
          <w:szCs w:val="22"/>
          <w:lang w:val="en-PH"/>
        </w:rPr>
        <w:t xml:space="preserve">provide </w:t>
      </w:r>
      <w:r w:rsidR="00D118A9" w:rsidRPr="00444C36">
        <w:rPr>
          <w:rFonts w:ascii="Verdana" w:hAnsi="Verdana"/>
          <w:sz w:val="22"/>
          <w:szCs w:val="22"/>
          <w:lang w:val="en-PH"/>
        </w:rPr>
        <w:t xml:space="preserve">the </w:t>
      </w:r>
      <w:r w:rsidR="00F227BA" w:rsidRPr="00444C36">
        <w:rPr>
          <w:rFonts w:ascii="Verdana" w:hAnsi="Verdana"/>
          <w:sz w:val="22"/>
          <w:szCs w:val="22"/>
          <w:lang w:val="en-PH"/>
        </w:rPr>
        <w:t>fuel price</w:t>
      </w:r>
      <w:r w:rsidR="00E04240" w:rsidRPr="00444C36">
        <w:rPr>
          <w:rFonts w:ascii="Verdana" w:hAnsi="Verdana"/>
          <w:sz w:val="22"/>
          <w:szCs w:val="22"/>
          <w:lang w:val="en-PH"/>
        </w:rPr>
        <w:t xml:space="preserve"> forecasts, in USD/MMBtu,</w:t>
      </w:r>
      <w:r w:rsidR="00F227BA" w:rsidRPr="00444C36">
        <w:rPr>
          <w:rFonts w:ascii="Verdana" w:hAnsi="Verdana"/>
          <w:sz w:val="22"/>
          <w:szCs w:val="22"/>
          <w:lang w:val="en-PH"/>
        </w:rPr>
        <w:t xml:space="preserve"> and freight cost</w:t>
      </w:r>
      <w:r w:rsidR="00E04240" w:rsidRPr="00444C36">
        <w:rPr>
          <w:rFonts w:ascii="Verdana" w:hAnsi="Verdana"/>
          <w:sz w:val="22"/>
          <w:szCs w:val="22"/>
          <w:lang w:val="en-PH"/>
        </w:rPr>
        <w:t xml:space="preserve"> forecasts, in USD/MMBtu,</w:t>
      </w:r>
      <w:r w:rsidR="00F227BA" w:rsidRPr="00444C36">
        <w:rPr>
          <w:rFonts w:ascii="Verdana" w:hAnsi="Verdana"/>
          <w:sz w:val="22"/>
          <w:szCs w:val="22"/>
          <w:lang w:val="en-PH"/>
        </w:rPr>
        <w:t xml:space="preserve"> for Contract Years 1 to 10, which shall be binding upon the Bidder, provided that under the PSA, the fuel price and freight cost shall be the lower between the forecast and the actual. For Contract Years 11 to 20, the fuel and freight cost shall be a pass-through cost. </w:t>
      </w:r>
    </w:p>
    <w:p w14:paraId="6C2865DF" w14:textId="77777777" w:rsidR="008C57EB" w:rsidRPr="00444C36" w:rsidRDefault="008C57EB" w:rsidP="008C57EB">
      <w:pPr>
        <w:pStyle w:val="ListParagraph"/>
        <w:rPr>
          <w:rFonts w:ascii="Verdana" w:hAnsi="Verdana"/>
          <w:sz w:val="22"/>
          <w:szCs w:val="22"/>
          <w:lang w:val="en-PH"/>
        </w:rPr>
      </w:pPr>
    </w:p>
    <w:p w14:paraId="61FE5843" w14:textId="173C8880" w:rsidR="00CB1206" w:rsidRPr="00444C36" w:rsidRDefault="00F227BA" w:rsidP="008C57EB">
      <w:pPr>
        <w:pStyle w:val="ListParagraph"/>
        <w:rPr>
          <w:rFonts w:ascii="Verdana" w:hAnsi="Verdana"/>
          <w:sz w:val="22"/>
          <w:szCs w:val="22"/>
          <w:lang w:val="en-PH"/>
        </w:rPr>
      </w:pPr>
      <w:r w:rsidRPr="00444C36">
        <w:rPr>
          <w:rFonts w:ascii="Verdana" w:hAnsi="Verdana"/>
          <w:sz w:val="22"/>
          <w:szCs w:val="22"/>
          <w:lang w:val="en-PH"/>
        </w:rPr>
        <w:t>For purposes of evaluation</w:t>
      </w:r>
      <w:r w:rsidR="008C57EB" w:rsidRPr="00444C36">
        <w:rPr>
          <w:rFonts w:ascii="Verdana" w:hAnsi="Verdana"/>
          <w:sz w:val="22"/>
          <w:szCs w:val="22"/>
          <w:lang w:val="en-PH"/>
        </w:rPr>
        <w:t xml:space="preserve"> of this Bidding</w:t>
      </w:r>
      <w:r w:rsidRPr="00444C36">
        <w:rPr>
          <w:rFonts w:ascii="Verdana" w:hAnsi="Verdana"/>
          <w:sz w:val="22"/>
          <w:szCs w:val="22"/>
          <w:lang w:val="en-PH"/>
        </w:rPr>
        <w:t>, the ten-year (i.e. Contract Years 1 to 10) simple average of the forecasted fuel price and freight cost shall be used for Contract Years 11 to 20</w:t>
      </w:r>
      <w:r w:rsidR="004F14E3" w:rsidRPr="00444C36">
        <w:rPr>
          <w:rFonts w:ascii="Verdana" w:hAnsi="Verdana"/>
          <w:sz w:val="22"/>
          <w:szCs w:val="22"/>
          <w:lang w:val="en-PH"/>
        </w:rPr>
        <w:t>;</w:t>
      </w:r>
    </w:p>
    <w:p w14:paraId="512A8B62" w14:textId="77777777" w:rsidR="00342F28" w:rsidRPr="00444C36" w:rsidRDefault="00342F28" w:rsidP="00342F28">
      <w:pPr>
        <w:pStyle w:val="ListParagraph"/>
        <w:rPr>
          <w:rFonts w:ascii="Verdana" w:hAnsi="Verdana"/>
          <w:sz w:val="22"/>
          <w:szCs w:val="22"/>
          <w:lang w:val="en-PH"/>
        </w:rPr>
      </w:pPr>
    </w:p>
    <w:p w14:paraId="333E82B6" w14:textId="27E9B79C" w:rsidR="00342F28" w:rsidRPr="00444C36" w:rsidRDefault="00342F28" w:rsidP="0083451B">
      <w:pPr>
        <w:pStyle w:val="ListParagraph"/>
        <w:numPr>
          <w:ilvl w:val="2"/>
          <w:numId w:val="19"/>
        </w:numPr>
        <w:ind w:left="720" w:hanging="720"/>
        <w:rPr>
          <w:rFonts w:ascii="Verdana" w:hAnsi="Verdana"/>
          <w:sz w:val="22"/>
          <w:szCs w:val="22"/>
          <w:lang w:val="en-PH"/>
        </w:rPr>
      </w:pPr>
      <w:r w:rsidRPr="00444C36">
        <w:rPr>
          <w:rFonts w:ascii="Verdana" w:hAnsi="Verdana"/>
          <w:sz w:val="22"/>
          <w:szCs w:val="22"/>
          <w:lang w:val="en-PH"/>
        </w:rPr>
        <w:t>The Bidder shall also provide the fuel price</w:t>
      </w:r>
      <w:r w:rsidR="00635307" w:rsidRPr="00444C36">
        <w:rPr>
          <w:rFonts w:ascii="Verdana" w:hAnsi="Verdana"/>
          <w:sz w:val="22"/>
          <w:szCs w:val="22"/>
          <w:lang w:val="en-PH"/>
        </w:rPr>
        <w:t xml:space="preserve"> forecast</w:t>
      </w:r>
      <w:r w:rsidRPr="00444C36">
        <w:rPr>
          <w:rFonts w:ascii="Verdana" w:hAnsi="Verdana"/>
          <w:sz w:val="22"/>
          <w:szCs w:val="22"/>
          <w:lang w:val="en-PH"/>
        </w:rPr>
        <w:t>, in USD/MMBtu, and freight cost</w:t>
      </w:r>
      <w:r w:rsidR="00635307" w:rsidRPr="00444C36">
        <w:rPr>
          <w:rFonts w:ascii="Verdana" w:hAnsi="Verdana"/>
          <w:sz w:val="22"/>
          <w:szCs w:val="22"/>
          <w:lang w:val="en-PH"/>
        </w:rPr>
        <w:t xml:space="preserve"> forecast</w:t>
      </w:r>
      <w:r w:rsidRPr="00444C36">
        <w:rPr>
          <w:rFonts w:ascii="Verdana" w:hAnsi="Verdana"/>
          <w:sz w:val="22"/>
          <w:szCs w:val="22"/>
          <w:lang w:val="en-PH"/>
        </w:rPr>
        <w:t xml:space="preserve">, in USD/MMBtu, for </w:t>
      </w:r>
      <w:r w:rsidR="00F160A0">
        <w:rPr>
          <w:rFonts w:ascii="Verdana" w:hAnsi="Verdana"/>
          <w:sz w:val="22"/>
          <w:szCs w:val="22"/>
          <w:lang w:val="en-PH"/>
        </w:rPr>
        <w:t>2020</w:t>
      </w:r>
      <w:r w:rsidR="00F160A0" w:rsidRPr="00444C36">
        <w:rPr>
          <w:rFonts w:ascii="Verdana" w:hAnsi="Verdana"/>
          <w:sz w:val="22"/>
          <w:szCs w:val="22"/>
          <w:lang w:val="en-PH"/>
        </w:rPr>
        <w:t xml:space="preserve"> </w:t>
      </w:r>
      <w:r w:rsidR="00635307" w:rsidRPr="00444C36">
        <w:rPr>
          <w:rFonts w:ascii="Verdana" w:hAnsi="Verdana"/>
          <w:sz w:val="22"/>
          <w:szCs w:val="22"/>
          <w:lang w:val="en-PH"/>
        </w:rPr>
        <w:t xml:space="preserve">that will be used in computing the </w:t>
      </w:r>
      <w:r w:rsidR="00635307" w:rsidRPr="00444C36">
        <w:rPr>
          <w:rFonts w:ascii="Verdana" w:hAnsi="Verdana"/>
          <w:sz w:val="22"/>
          <w:szCs w:val="22"/>
        </w:rPr>
        <w:t xml:space="preserve">Bidder’s Headline Rate (Proposed Price using </w:t>
      </w:r>
      <w:r w:rsidR="00F160A0">
        <w:rPr>
          <w:rFonts w:ascii="Verdana" w:hAnsi="Verdana"/>
          <w:sz w:val="22"/>
          <w:szCs w:val="22"/>
        </w:rPr>
        <w:t>2020</w:t>
      </w:r>
      <w:r w:rsidR="00F160A0" w:rsidRPr="00444C36">
        <w:rPr>
          <w:rFonts w:ascii="Verdana" w:hAnsi="Verdana"/>
          <w:sz w:val="22"/>
          <w:szCs w:val="22"/>
        </w:rPr>
        <w:t xml:space="preserve"> </w:t>
      </w:r>
      <w:r w:rsidR="00635307" w:rsidRPr="00444C36">
        <w:rPr>
          <w:rFonts w:ascii="Verdana" w:hAnsi="Verdana"/>
          <w:sz w:val="22"/>
          <w:szCs w:val="22"/>
        </w:rPr>
        <w:t>indices and prices)</w:t>
      </w:r>
      <w:r w:rsidR="004A1ECE" w:rsidRPr="00444C36">
        <w:rPr>
          <w:rFonts w:ascii="Verdana" w:hAnsi="Verdana"/>
          <w:sz w:val="22"/>
          <w:szCs w:val="22"/>
          <w:lang w:val="en-PH"/>
        </w:rPr>
        <w:t>;</w:t>
      </w:r>
    </w:p>
    <w:p w14:paraId="587D4CE2" w14:textId="77777777" w:rsidR="00CB1206" w:rsidRPr="00444C36" w:rsidRDefault="00CB1206" w:rsidP="0083451B">
      <w:pPr>
        <w:pStyle w:val="ListParagraph"/>
        <w:rPr>
          <w:rFonts w:ascii="Verdana" w:hAnsi="Verdana"/>
          <w:sz w:val="22"/>
          <w:szCs w:val="22"/>
          <w:lang w:val="en-PH"/>
        </w:rPr>
      </w:pPr>
    </w:p>
    <w:p w14:paraId="0C11DC45" w14:textId="558357CE" w:rsidR="00AF79A4" w:rsidRPr="00444C36" w:rsidRDefault="00CB1206" w:rsidP="0083451B">
      <w:pPr>
        <w:pStyle w:val="ListParagraph"/>
        <w:numPr>
          <w:ilvl w:val="2"/>
          <w:numId w:val="19"/>
        </w:numPr>
        <w:ind w:left="720" w:hanging="720"/>
        <w:rPr>
          <w:rFonts w:ascii="Verdana" w:hAnsi="Verdana"/>
          <w:lang w:val="en-PH"/>
        </w:rPr>
      </w:pPr>
      <w:r w:rsidRPr="00444C36">
        <w:rPr>
          <w:rFonts w:ascii="Verdana" w:hAnsi="Verdana"/>
          <w:sz w:val="22"/>
          <w:szCs w:val="22"/>
          <w:lang w:val="en-PH"/>
        </w:rPr>
        <w:t>T</w:t>
      </w:r>
      <w:r w:rsidR="00BB5A55" w:rsidRPr="00444C36">
        <w:rPr>
          <w:rFonts w:ascii="Verdana" w:hAnsi="Verdana"/>
          <w:sz w:val="22"/>
          <w:szCs w:val="22"/>
          <w:lang w:val="en-PH"/>
        </w:rPr>
        <w:t xml:space="preserve">he Bidder shall </w:t>
      </w:r>
      <w:r w:rsidRPr="00444C36">
        <w:rPr>
          <w:rFonts w:ascii="Verdana" w:hAnsi="Verdana"/>
          <w:sz w:val="22"/>
          <w:szCs w:val="22"/>
          <w:lang w:val="en-PH"/>
        </w:rPr>
        <w:t>provide</w:t>
      </w:r>
      <w:r w:rsidR="00D118A9" w:rsidRPr="00444C36">
        <w:rPr>
          <w:rFonts w:ascii="Verdana" w:hAnsi="Verdana"/>
          <w:sz w:val="22"/>
          <w:szCs w:val="22"/>
          <w:lang w:val="en-PH"/>
        </w:rPr>
        <w:t xml:space="preserve"> the Guaranteed Net Plant Heat Rate (GNPHR), in Btu/kWh at HHV</w:t>
      </w:r>
      <w:r w:rsidR="00BB5A55" w:rsidRPr="00444C36">
        <w:rPr>
          <w:rFonts w:ascii="Verdana" w:hAnsi="Verdana"/>
          <w:sz w:val="22"/>
          <w:szCs w:val="22"/>
          <w:lang w:val="en-PH"/>
        </w:rPr>
        <w:t xml:space="preserve"> (if coal) or in Btu/kWh at GCV (if natural gas). </w:t>
      </w:r>
      <w:r w:rsidR="00D118A9" w:rsidRPr="00444C36">
        <w:rPr>
          <w:rFonts w:ascii="Verdana" w:hAnsi="Verdana"/>
          <w:sz w:val="22"/>
          <w:szCs w:val="22"/>
          <w:lang w:val="en-PH"/>
        </w:rPr>
        <w:t>Such GNPHR shall be from 40% to 100% Load Factor and in increments of 1% Load Factor for Contract Year 1</w:t>
      </w:r>
      <w:r w:rsidR="00385831" w:rsidRPr="00444C36">
        <w:rPr>
          <w:rFonts w:ascii="Verdana" w:hAnsi="Verdana"/>
          <w:sz w:val="22"/>
          <w:szCs w:val="22"/>
          <w:lang w:val="en-PH"/>
        </w:rPr>
        <w:t>.</w:t>
      </w:r>
      <w:r w:rsidRPr="00444C36">
        <w:rPr>
          <w:rFonts w:ascii="Verdana" w:hAnsi="Verdana"/>
          <w:sz w:val="22"/>
          <w:szCs w:val="22"/>
          <w:lang w:val="en-PH"/>
        </w:rPr>
        <w:t xml:space="preserve"> The Independent Engineer shall assess and determine if </w:t>
      </w:r>
      <w:r w:rsidRPr="00444C36">
        <w:rPr>
          <w:rFonts w:ascii="Verdana" w:hAnsi="Verdana"/>
          <w:sz w:val="22"/>
          <w:szCs w:val="22"/>
          <w:lang w:val="en-PH"/>
        </w:rPr>
        <w:lastRenderedPageBreak/>
        <w:t xml:space="preserve">the provided GNPHR </w:t>
      </w:r>
      <w:r w:rsidR="00871754" w:rsidRPr="00444C36">
        <w:rPr>
          <w:rFonts w:ascii="Verdana" w:hAnsi="Verdana"/>
          <w:sz w:val="22"/>
          <w:szCs w:val="22"/>
          <w:lang w:val="en-PH"/>
        </w:rPr>
        <w:t xml:space="preserve">can </w:t>
      </w:r>
      <w:r w:rsidR="00871754" w:rsidRPr="00444C36">
        <w:rPr>
          <w:rFonts w:ascii="Verdana" w:hAnsi="Verdana"/>
          <w:sz w:val="22"/>
          <w:szCs w:val="22"/>
        </w:rPr>
        <w:t>comply with the prevailing emission standards under pertinent DENR issuances on emission and other environmental standards for power plants</w:t>
      </w:r>
      <w:r w:rsidR="00E04240" w:rsidRPr="00444C36">
        <w:rPr>
          <w:rFonts w:ascii="Verdana" w:hAnsi="Verdana"/>
          <w:sz w:val="22"/>
          <w:szCs w:val="22"/>
          <w:lang w:val="en-PH"/>
        </w:rPr>
        <w:t>;</w:t>
      </w:r>
    </w:p>
    <w:p w14:paraId="71BCE3F6" w14:textId="5C75E556" w:rsidR="00FA4167" w:rsidRPr="00444C36" w:rsidRDefault="00FA4167" w:rsidP="0083451B">
      <w:pPr>
        <w:ind w:left="720"/>
        <w:jc w:val="center"/>
        <w:rPr>
          <w:lang w:val="en-PH"/>
        </w:rPr>
      </w:pPr>
    </w:p>
    <w:p w14:paraId="01AE0E4F" w14:textId="440AE270" w:rsidR="00FA4167" w:rsidRPr="00444C36" w:rsidRDefault="00FA4167" w:rsidP="0083451B">
      <w:pPr>
        <w:pStyle w:val="ListParagraph"/>
        <w:numPr>
          <w:ilvl w:val="2"/>
          <w:numId w:val="20"/>
        </w:numPr>
        <w:ind w:left="720" w:hanging="720"/>
        <w:rPr>
          <w:rFonts w:ascii="Verdana" w:hAnsi="Verdana"/>
          <w:sz w:val="22"/>
          <w:szCs w:val="22"/>
          <w:lang w:val="en-PH"/>
        </w:rPr>
      </w:pPr>
      <w:r w:rsidRPr="00444C36">
        <w:rPr>
          <w:rFonts w:ascii="Verdana" w:hAnsi="Verdana"/>
          <w:sz w:val="22"/>
          <w:szCs w:val="22"/>
          <w:lang w:val="en-PH"/>
        </w:rPr>
        <w:t xml:space="preserve">Bidder shall also provide the specifications of the Performance Fuel by way of a Proximate Analysis and Ultimate Analysis. The Performance Fuel shall be used for the conduct of the Net Dependable Capacity (NDC) Test and the Heat Rate Test (HRT) in </w:t>
      </w:r>
      <w:r w:rsidR="00D45251" w:rsidRPr="00444C36">
        <w:rPr>
          <w:rFonts w:ascii="Verdana" w:hAnsi="Verdana"/>
          <w:sz w:val="22"/>
          <w:szCs w:val="22"/>
          <w:lang w:val="en-PH"/>
        </w:rPr>
        <w:t>accordance with the PSA</w:t>
      </w:r>
      <w:r w:rsidR="002F45E1" w:rsidRPr="00444C36">
        <w:rPr>
          <w:rFonts w:ascii="Verdana" w:hAnsi="Verdana"/>
          <w:sz w:val="22"/>
          <w:szCs w:val="22"/>
          <w:lang w:val="en-PH"/>
        </w:rPr>
        <w:t>;</w:t>
      </w:r>
    </w:p>
    <w:bookmarkEnd w:id="23"/>
    <w:p w14:paraId="59882B9C" w14:textId="6D2E32FD" w:rsidR="00287B22" w:rsidRPr="00444C36" w:rsidRDefault="00AF79A4" w:rsidP="0083451B">
      <w:pPr>
        <w:rPr>
          <w:lang w:val="en-PH"/>
        </w:rPr>
      </w:pPr>
      <w:r w:rsidRPr="00444C36">
        <w:rPr>
          <w:rFonts w:ascii="Verdana" w:hAnsi="Verdana"/>
          <w:bCs/>
          <w:iCs/>
          <w:sz w:val="22"/>
          <w:szCs w:val="22"/>
          <w:lang w:val="en-PH"/>
        </w:rPr>
        <w:t xml:space="preserve">  </w:t>
      </w:r>
      <w:r w:rsidR="00846D22" w:rsidRPr="00444C36">
        <w:rPr>
          <w:sz w:val="22"/>
          <w:szCs w:val="22"/>
          <w:lang w:val="en-PH"/>
        </w:rPr>
        <w:tab/>
      </w:r>
    </w:p>
    <w:p w14:paraId="0AAAF9EA" w14:textId="61036009" w:rsidR="00D6050C" w:rsidRPr="00444C36" w:rsidRDefault="00710E49" w:rsidP="0083451B">
      <w:pPr>
        <w:pStyle w:val="ListParagraph"/>
        <w:numPr>
          <w:ilvl w:val="3"/>
          <w:numId w:val="21"/>
        </w:numPr>
        <w:ind w:left="720"/>
        <w:rPr>
          <w:sz w:val="22"/>
          <w:szCs w:val="22"/>
          <w:lang w:val="en-PH"/>
        </w:rPr>
      </w:pPr>
      <w:r w:rsidRPr="00444C36">
        <w:rPr>
          <w:rFonts w:ascii="Verdana" w:hAnsi="Verdana"/>
          <w:bCs/>
          <w:iCs/>
          <w:sz w:val="22"/>
          <w:szCs w:val="22"/>
          <w:lang w:val="en-PH"/>
        </w:rPr>
        <w:t>The Fuel Supply Plan or Agreement, containing a narrative description of strategies and plans for ensuring long-term availability of fuel and regulatory compliance on fuel inventory and specification</w:t>
      </w:r>
      <w:r w:rsidR="00057BD4" w:rsidRPr="00444C36">
        <w:rPr>
          <w:rFonts w:ascii="Verdana" w:hAnsi="Verdana"/>
          <w:bCs/>
          <w:iCs/>
          <w:sz w:val="22"/>
          <w:szCs w:val="22"/>
          <w:lang w:val="en-PH"/>
        </w:rPr>
        <w:t>. Bidders shall ensure that</w:t>
      </w:r>
      <w:r w:rsidR="00846D22" w:rsidRPr="00444C36">
        <w:rPr>
          <w:rFonts w:ascii="Verdana" w:hAnsi="Verdana"/>
          <w:bCs/>
          <w:iCs/>
          <w:sz w:val="22"/>
          <w:szCs w:val="22"/>
          <w:lang w:val="en-PH"/>
        </w:rPr>
        <w:t xml:space="preserve"> </w:t>
      </w:r>
      <w:r w:rsidR="00057BD4" w:rsidRPr="00444C36">
        <w:rPr>
          <w:rFonts w:ascii="Verdana" w:hAnsi="Verdana"/>
          <w:bCs/>
          <w:iCs/>
          <w:sz w:val="22"/>
          <w:szCs w:val="22"/>
          <w:lang w:val="en-PH"/>
        </w:rPr>
        <w:t>it</w:t>
      </w:r>
      <w:r w:rsidR="00D6050C" w:rsidRPr="00444C36">
        <w:rPr>
          <w:rFonts w:ascii="Verdana" w:hAnsi="Verdana"/>
          <w:bCs/>
          <w:iCs/>
          <w:sz w:val="22"/>
          <w:szCs w:val="22"/>
          <w:lang w:val="en-PH"/>
        </w:rPr>
        <w:t xml:space="preserve"> shall procure its</w:t>
      </w:r>
      <w:r w:rsidR="00057BD4" w:rsidRPr="00444C36">
        <w:rPr>
          <w:rFonts w:ascii="Verdana" w:hAnsi="Verdana"/>
          <w:bCs/>
          <w:iCs/>
          <w:sz w:val="22"/>
          <w:szCs w:val="22"/>
          <w:lang w:val="en-PH"/>
        </w:rPr>
        <w:t xml:space="preserve"> fuel</w:t>
      </w:r>
      <w:r w:rsidR="00D6050C" w:rsidRPr="00444C36">
        <w:rPr>
          <w:rFonts w:ascii="Verdana" w:hAnsi="Verdana"/>
          <w:bCs/>
          <w:iCs/>
          <w:sz w:val="22"/>
          <w:szCs w:val="22"/>
          <w:lang w:val="en-PH"/>
        </w:rPr>
        <w:t>,</w:t>
      </w:r>
      <w:r w:rsidR="00057BD4" w:rsidRPr="00444C36">
        <w:rPr>
          <w:rFonts w:ascii="Verdana" w:hAnsi="Verdana"/>
          <w:bCs/>
          <w:iCs/>
          <w:sz w:val="22"/>
          <w:szCs w:val="22"/>
          <w:lang w:val="en-PH"/>
        </w:rPr>
        <w:t xml:space="preserve"> </w:t>
      </w:r>
      <w:r w:rsidR="00D6050C" w:rsidRPr="00444C36">
        <w:rPr>
          <w:rFonts w:ascii="Verdana" w:hAnsi="Verdana"/>
          <w:bCs/>
          <w:iCs/>
          <w:sz w:val="22"/>
          <w:szCs w:val="22"/>
          <w:lang w:val="en-PH"/>
        </w:rPr>
        <w:t>following</w:t>
      </w:r>
      <w:r w:rsidR="00057BD4" w:rsidRPr="00444C36">
        <w:rPr>
          <w:rFonts w:ascii="Verdana" w:hAnsi="Verdana"/>
          <w:bCs/>
          <w:iCs/>
          <w:sz w:val="22"/>
          <w:szCs w:val="22"/>
          <w:lang w:val="en-PH"/>
        </w:rPr>
        <w:t xml:space="preserve"> a competitive selection process</w:t>
      </w:r>
      <w:r w:rsidR="00846D22" w:rsidRPr="00444C36">
        <w:rPr>
          <w:rFonts w:ascii="Verdana" w:hAnsi="Verdana"/>
          <w:bCs/>
          <w:iCs/>
          <w:sz w:val="22"/>
          <w:szCs w:val="22"/>
          <w:lang w:val="en-PH"/>
        </w:rPr>
        <w:t xml:space="preserve"> </w:t>
      </w:r>
      <w:bookmarkStart w:id="24" w:name="_Hlk19793346"/>
      <w:r w:rsidR="00846D22" w:rsidRPr="00444C36">
        <w:rPr>
          <w:rFonts w:ascii="Verdana" w:hAnsi="Verdana"/>
          <w:bCs/>
          <w:iCs/>
          <w:sz w:val="22"/>
          <w:szCs w:val="22"/>
          <w:lang w:val="en-PH"/>
        </w:rPr>
        <w:t>to be promulgated pursuant to the PSA</w:t>
      </w:r>
      <w:bookmarkEnd w:id="24"/>
      <w:r w:rsidR="00D6050C" w:rsidRPr="00444C36">
        <w:rPr>
          <w:rFonts w:ascii="Verdana" w:hAnsi="Verdana"/>
          <w:bCs/>
          <w:iCs/>
          <w:sz w:val="22"/>
          <w:szCs w:val="22"/>
          <w:lang w:val="en-PH"/>
        </w:rPr>
        <w:t>;</w:t>
      </w:r>
    </w:p>
    <w:p w14:paraId="58B2DE9F" w14:textId="1CA41B73" w:rsidR="00710E49" w:rsidRPr="00444C36" w:rsidRDefault="00710E49" w:rsidP="00283C89">
      <w:pPr>
        <w:pStyle w:val="ListParagraph"/>
        <w:rPr>
          <w:rFonts w:ascii="Verdana" w:hAnsi="Verdana"/>
          <w:bCs/>
          <w:iCs/>
          <w:sz w:val="22"/>
          <w:szCs w:val="22"/>
          <w:lang w:val="en-PH"/>
        </w:rPr>
      </w:pPr>
    </w:p>
    <w:p w14:paraId="61134EA7" w14:textId="71AF586A" w:rsidR="00710E49" w:rsidRPr="00444C36" w:rsidRDefault="00710E49" w:rsidP="0083451B">
      <w:pPr>
        <w:pStyle w:val="ListParagraph"/>
        <w:numPr>
          <w:ilvl w:val="3"/>
          <w:numId w:val="21"/>
        </w:numPr>
        <w:ind w:left="720"/>
        <w:rPr>
          <w:rFonts w:ascii="Verdana" w:hAnsi="Verdana"/>
          <w:bCs/>
          <w:iCs/>
          <w:sz w:val="22"/>
          <w:szCs w:val="22"/>
          <w:lang w:val="en-PH"/>
        </w:rPr>
      </w:pPr>
      <w:r w:rsidRPr="00444C36">
        <w:rPr>
          <w:rFonts w:ascii="Verdana" w:hAnsi="Verdana"/>
          <w:bCs/>
          <w:iCs/>
          <w:sz w:val="22"/>
          <w:szCs w:val="22"/>
          <w:lang w:val="en-PH"/>
        </w:rPr>
        <w:t>The Environmental Compliance Certificate (ECC) issued by the Department of Environment and Natural Resources (DENR)</w:t>
      </w:r>
      <w:r w:rsidR="0025133D" w:rsidRPr="00444C36">
        <w:rPr>
          <w:rFonts w:ascii="Verdana" w:hAnsi="Verdana"/>
          <w:bCs/>
          <w:iCs/>
          <w:sz w:val="22"/>
          <w:szCs w:val="22"/>
          <w:lang w:val="en-PH"/>
        </w:rPr>
        <w:t>;</w:t>
      </w:r>
      <w:r w:rsidRPr="00444C36">
        <w:rPr>
          <w:rFonts w:ascii="Verdana" w:hAnsi="Verdana"/>
          <w:bCs/>
          <w:iCs/>
          <w:sz w:val="22"/>
          <w:szCs w:val="22"/>
          <w:lang w:val="en-PH"/>
        </w:rPr>
        <w:t xml:space="preserve"> or an application for ECC pending before the DENR, provided</w:t>
      </w:r>
      <w:r w:rsidR="002B526D" w:rsidRPr="00444C36">
        <w:rPr>
          <w:rFonts w:ascii="Verdana" w:hAnsi="Verdana"/>
          <w:bCs/>
          <w:iCs/>
          <w:sz w:val="22"/>
          <w:szCs w:val="22"/>
          <w:lang w:val="en-PH"/>
        </w:rPr>
        <w:t xml:space="preserve">, </w:t>
      </w:r>
      <w:bookmarkStart w:id="25" w:name="_Hlk19793730"/>
      <w:r w:rsidR="002B526D" w:rsidRPr="00444C36">
        <w:rPr>
          <w:rFonts w:ascii="Verdana" w:hAnsi="Verdana"/>
          <w:bCs/>
          <w:iCs/>
          <w:sz w:val="22"/>
          <w:szCs w:val="22"/>
          <w:lang w:val="en-PH"/>
        </w:rPr>
        <w:t>if the Bidder’s Bid is declared as the Best Bid</w:t>
      </w:r>
      <w:r w:rsidR="00234817" w:rsidRPr="00444C36">
        <w:rPr>
          <w:rFonts w:ascii="Verdana" w:hAnsi="Verdana"/>
          <w:bCs/>
          <w:iCs/>
          <w:sz w:val="22"/>
          <w:szCs w:val="22"/>
          <w:lang w:val="en-PH"/>
        </w:rPr>
        <w:t xml:space="preserve"> (and issued a Notice of Award)</w:t>
      </w:r>
      <w:r w:rsidR="002B526D" w:rsidRPr="00444C36">
        <w:rPr>
          <w:rFonts w:ascii="Verdana" w:hAnsi="Verdana"/>
          <w:bCs/>
          <w:iCs/>
          <w:sz w:val="22"/>
          <w:szCs w:val="22"/>
          <w:lang w:val="en-PH"/>
        </w:rPr>
        <w:t>,</w:t>
      </w:r>
      <w:r w:rsidRPr="00444C36">
        <w:rPr>
          <w:rFonts w:ascii="Verdana" w:hAnsi="Verdana"/>
          <w:bCs/>
          <w:iCs/>
          <w:sz w:val="22"/>
          <w:szCs w:val="22"/>
          <w:lang w:val="en-PH"/>
        </w:rPr>
        <w:t xml:space="preserve"> a certified true copy of the ECC </w:t>
      </w:r>
      <w:r w:rsidR="00234817" w:rsidRPr="00444C36">
        <w:rPr>
          <w:rFonts w:ascii="Verdana" w:hAnsi="Verdana"/>
          <w:bCs/>
          <w:iCs/>
          <w:sz w:val="22"/>
          <w:szCs w:val="22"/>
          <w:lang w:val="en-PH"/>
        </w:rPr>
        <w:t xml:space="preserve">issued by the DENR </w:t>
      </w:r>
      <w:r w:rsidRPr="00444C36">
        <w:rPr>
          <w:rFonts w:ascii="Verdana" w:hAnsi="Verdana"/>
          <w:bCs/>
          <w:iCs/>
          <w:sz w:val="22"/>
          <w:szCs w:val="22"/>
          <w:lang w:val="en-PH"/>
        </w:rPr>
        <w:t xml:space="preserve">must be submitted </w:t>
      </w:r>
      <w:r w:rsidR="0026686F">
        <w:rPr>
          <w:rFonts w:ascii="Verdana" w:hAnsi="Verdana"/>
          <w:bCs/>
          <w:iCs/>
          <w:sz w:val="22"/>
          <w:szCs w:val="22"/>
          <w:lang w:val="en-PH"/>
        </w:rPr>
        <w:t>as required by</w:t>
      </w:r>
      <w:r w:rsidR="002B526D" w:rsidRPr="00444C36">
        <w:rPr>
          <w:rFonts w:ascii="Verdana" w:hAnsi="Verdana"/>
          <w:bCs/>
          <w:iCs/>
          <w:sz w:val="22"/>
          <w:szCs w:val="22"/>
          <w:lang w:val="en-PH"/>
        </w:rPr>
        <w:t xml:space="preserve"> the ERC;</w:t>
      </w:r>
      <w:bookmarkEnd w:id="25"/>
    </w:p>
    <w:p w14:paraId="3CBD5527" w14:textId="77777777" w:rsidR="00710E49" w:rsidRPr="0083451B" w:rsidRDefault="00710E49" w:rsidP="00710E49">
      <w:pPr>
        <w:pStyle w:val="ListParagraph"/>
        <w:rPr>
          <w:rFonts w:ascii="Verdana" w:hAnsi="Verdana"/>
          <w:bCs/>
          <w:iCs/>
          <w:sz w:val="22"/>
          <w:szCs w:val="22"/>
          <w:lang w:val="en-PH"/>
        </w:rPr>
      </w:pPr>
    </w:p>
    <w:p w14:paraId="46789601" w14:textId="1175A03C" w:rsidR="00710E49" w:rsidRPr="0083451B" w:rsidRDefault="00710E49" w:rsidP="0083451B">
      <w:pPr>
        <w:pStyle w:val="ListParagraph"/>
        <w:numPr>
          <w:ilvl w:val="3"/>
          <w:numId w:val="21"/>
        </w:numPr>
        <w:ind w:left="720"/>
        <w:rPr>
          <w:rFonts w:ascii="Verdana" w:hAnsi="Verdana"/>
          <w:bCs/>
          <w:iCs/>
          <w:sz w:val="22"/>
          <w:szCs w:val="22"/>
          <w:lang w:val="en-PH"/>
        </w:rPr>
      </w:pPr>
      <w:r w:rsidRPr="0083451B">
        <w:rPr>
          <w:rFonts w:ascii="Verdana" w:hAnsi="Verdana"/>
          <w:sz w:val="22"/>
          <w:szCs w:val="22"/>
        </w:rPr>
        <w:t xml:space="preserve">The </w:t>
      </w:r>
      <w:r w:rsidR="00513762" w:rsidRPr="00E12386">
        <w:rPr>
          <w:rFonts w:ascii="Verdana" w:hAnsi="Verdana"/>
          <w:sz w:val="22"/>
          <w:szCs w:val="22"/>
        </w:rPr>
        <w:t xml:space="preserve">Grid Impact Study (GIS) / </w:t>
      </w:r>
      <w:r w:rsidRPr="0083451B">
        <w:rPr>
          <w:rFonts w:ascii="Verdana" w:hAnsi="Verdana"/>
          <w:sz w:val="22"/>
          <w:szCs w:val="22"/>
        </w:rPr>
        <w:t>System Impact Study (SIS)</w:t>
      </w:r>
      <w:r w:rsidR="00513762">
        <w:rPr>
          <w:rFonts w:ascii="Verdana" w:hAnsi="Verdana"/>
          <w:sz w:val="22"/>
          <w:szCs w:val="22"/>
        </w:rPr>
        <w:t>, whichever is applicable,</w:t>
      </w:r>
      <w:r w:rsidRPr="0083451B">
        <w:rPr>
          <w:rFonts w:ascii="Verdana" w:hAnsi="Verdana"/>
          <w:sz w:val="22"/>
          <w:szCs w:val="22"/>
        </w:rPr>
        <w:t xml:space="preserve"> issued by NGCP</w:t>
      </w:r>
      <w:r w:rsidR="0025133D" w:rsidRPr="0083451B">
        <w:rPr>
          <w:rFonts w:ascii="Verdana" w:hAnsi="Verdana"/>
          <w:bCs/>
          <w:iCs/>
          <w:sz w:val="22"/>
          <w:szCs w:val="22"/>
          <w:lang w:val="en-PH"/>
        </w:rPr>
        <w:t>;</w:t>
      </w:r>
      <w:r w:rsidRPr="0083451B">
        <w:rPr>
          <w:rFonts w:ascii="Verdana" w:hAnsi="Verdana"/>
          <w:sz w:val="22"/>
          <w:szCs w:val="22"/>
        </w:rPr>
        <w:t xml:space="preserve"> or an application for</w:t>
      </w:r>
      <w:r w:rsidR="004B41CD" w:rsidRPr="0083451B">
        <w:rPr>
          <w:rFonts w:ascii="Verdana" w:hAnsi="Verdana"/>
          <w:sz w:val="22"/>
          <w:szCs w:val="22"/>
        </w:rPr>
        <w:t xml:space="preserve"> </w:t>
      </w:r>
      <w:r w:rsidR="00513762">
        <w:rPr>
          <w:rFonts w:ascii="Verdana" w:hAnsi="Verdana"/>
          <w:sz w:val="22"/>
          <w:szCs w:val="22"/>
        </w:rPr>
        <w:t>GIS/</w:t>
      </w:r>
      <w:r w:rsidRPr="0083451B">
        <w:rPr>
          <w:rFonts w:ascii="Verdana" w:hAnsi="Verdana"/>
          <w:sz w:val="22"/>
          <w:szCs w:val="22"/>
        </w:rPr>
        <w:t>SIS pending before the NGCP,</w:t>
      </w:r>
      <w:r w:rsidRPr="0083451B">
        <w:rPr>
          <w:rFonts w:ascii="Verdana" w:hAnsi="Verdana"/>
          <w:bCs/>
          <w:iCs/>
          <w:sz w:val="22"/>
          <w:szCs w:val="22"/>
          <w:lang w:val="en-PH"/>
        </w:rPr>
        <w:t xml:space="preserve"> provided a certified true copy of the</w:t>
      </w:r>
      <w:r w:rsidR="00BC0C0D" w:rsidRPr="0083451B">
        <w:rPr>
          <w:rFonts w:ascii="Verdana" w:hAnsi="Verdana"/>
          <w:bCs/>
          <w:iCs/>
          <w:sz w:val="22"/>
          <w:szCs w:val="22"/>
          <w:lang w:val="en-PH"/>
        </w:rPr>
        <w:t xml:space="preserve"> </w:t>
      </w:r>
      <w:r w:rsidR="00DE5BBF">
        <w:rPr>
          <w:rFonts w:ascii="Verdana" w:hAnsi="Verdana"/>
          <w:bCs/>
          <w:iCs/>
          <w:sz w:val="22"/>
          <w:szCs w:val="22"/>
          <w:lang w:val="en-PH"/>
        </w:rPr>
        <w:t>GIS/</w:t>
      </w:r>
      <w:r w:rsidRPr="0083451B">
        <w:rPr>
          <w:rFonts w:ascii="Verdana" w:hAnsi="Verdana"/>
          <w:bCs/>
          <w:iCs/>
          <w:sz w:val="22"/>
          <w:szCs w:val="22"/>
          <w:lang w:val="en-PH"/>
        </w:rPr>
        <w:t>SIS must be submitted during Post-Qualification if the Bidder’s Bid is declared as the Best Bid;</w:t>
      </w:r>
    </w:p>
    <w:p w14:paraId="1B1F803A" w14:textId="77777777" w:rsidR="00710E49" w:rsidRPr="0083451B" w:rsidRDefault="00710E49" w:rsidP="00710E49">
      <w:pPr>
        <w:pStyle w:val="ListParagraph"/>
        <w:rPr>
          <w:rFonts w:ascii="Verdana" w:hAnsi="Verdana"/>
          <w:bCs/>
          <w:iCs/>
          <w:sz w:val="22"/>
          <w:szCs w:val="22"/>
          <w:lang w:val="en-PH"/>
        </w:rPr>
      </w:pPr>
      <w:r w:rsidRPr="0083451B">
        <w:rPr>
          <w:rFonts w:ascii="Verdana" w:hAnsi="Verdana"/>
          <w:sz w:val="22"/>
          <w:szCs w:val="22"/>
        </w:rPr>
        <w:t xml:space="preserve"> </w:t>
      </w:r>
    </w:p>
    <w:p w14:paraId="2286FF13" w14:textId="741FA4B8" w:rsidR="00710E49" w:rsidRPr="0083451B" w:rsidRDefault="0025133D" w:rsidP="0083451B">
      <w:pPr>
        <w:pStyle w:val="ListParagraph"/>
        <w:numPr>
          <w:ilvl w:val="3"/>
          <w:numId w:val="21"/>
        </w:numPr>
        <w:ind w:left="720"/>
        <w:rPr>
          <w:rFonts w:ascii="Verdana" w:hAnsi="Verdana"/>
          <w:bCs/>
          <w:iCs/>
          <w:sz w:val="22"/>
          <w:szCs w:val="22"/>
          <w:lang w:val="en-PH"/>
        </w:rPr>
      </w:pPr>
      <w:r w:rsidRPr="0083451B">
        <w:rPr>
          <w:rFonts w:ascii="Verdana" w:hAnsi="Verdana"/>
          <w:bCs/>
          <w:iCs/>
          <w:sz w:val="22"/>
          <w:szCs w:val="22"/>
          <w:lang w:val="en-PH"/>
        </w:rPr>
        <w:t xml:space="preserve">A </w:t>
      </w:r>
      <w:r w:rsidR="00710E49" w:rsidRPr="0083451B">
        <w:rPr>
          <w:rFonts w:ascii="Verdana" w:hAnsi="Verdana"/>
          <w:bCs/>
          <w:iCs/>
          <w:sz w:val="22"/>
          <w:szCs w:val="22"/>
          <w:lang w:val="en-PH"/>
        </w:rPr>
        <w:t>Certificate of Registration issued by the Board of Investments (BOI), if applicable;</w:t>
      </w:r>
      <w:r w:rsidR="006E08F9" w:rsidRPr="0083451B">
        <w:rPr>
          <w:rFonts w:ascii="Verdana" w:hAnsi="Verdana"/>
          <w:bCs/>
          <w:iCs/>
          <w:sz w:val="22"/>
          <w:szCs w:val="22"/>
          <w:lang w:val="en-PH"/>
        </w:rPr>
        <w:t xml:space="preserve"> and</w:t>
      </w:r>
    </w:p>
    <w:p w14:paraId="2FF432C0" w14:textId="77777777" w:rsidR="00710E49" w:rsidRPr="0083451B" w:rsidRDefault="00710E49" w:rsidP="00710E49">
      <w:pPr>
        <w:pStyle w:val="ListParagraph"/>
        <w:rPr>
          <w:rFonts w:ascii="Verdana" w:hAnsi="Verdana"/>
          <w:bCs/>
          <w:iCs/>
          <w:sz w:val="22"/>
          <w:szCs w:val="22"/>
          <w:lang w:val="en-PH"/>
        </w:rPr>
      </w:pPr>
    </w:p>
    <w:p w14:paraId="464BC817" w14:textId="20065632" w:rsidR="00710E49" w:rsidRPr="0083451B" w:rsidRDefault="0025133D" w:rsidP="0083451B">
      <w:pPr>
        <w:pStyle w:val="ListParagraph"/>
        <w:numPr>
          <w:ilvl w:val="3"/>
          <w:numId w:val="21"/>
        </w:numPr>
        <w:ind w:left="720"/>
        <w:rPr>
          <w:rFonts w:ascii="Verdana" w:hAnsi="Verdana"/>
          <w:bCs/>
          <w:iCs/>
          <w:sz w:val="22"/>
          <w:szCs w:val="22"/>
          <w:lang w:val="en-PH"/>
        </w:rPr>
      </w:pPr>
      <w:r w:rsidRPr="0083451B">
        <w:rPr>
          <w:rFonts w:ascii="Verdana" w:hAnsi="Verdana"/>
          <w:bCs/>
          <w:iCs/>
          <w:sz w:val="22"/>
          <w:szCs w:val="22"/>
          <w:lang w:val="en-PH"/>
        </w:rPr>
        <w:t xml:space="preserve">A </w:t>
      </w:r>
      <w:r w:rsidR="00710E49" w:rsidRPr="0083451B">
        <w:rPr>
          <w:rFonts w:ascii="Verdana" w:hAnsi="Verdana"/>
          <w:bCs/>
          <w:iCs/>
          <w:sz w:val="22"/>
          <w:szCs w:val="22"/>
          <w:lang w:val="en-PH"/>
        </w:rPr>
        <w:t>Project Feasibility Study</w:t>
      </w:r>
      <w:r w:rsidR="006E08F9" w:rsidRPr="0083451B">
        <w:rPr>
          <w:rFonts w:ascii="Verdana" w:hAnsi="Verdana"/>
          <w:bCs/>
          <w:iCs/>
          <w:sz w:val="22"/>
          <w:szCs w:val="22"/>
          <w:lang w:val="en-PH"/>
        </w:rPr>
        <w:t>.</w:t>
      </w:r>
      <w:r w:rsidR="00710E49" w:rsidRPr="0083451B">
        <w:rPr>
          <w:rFonts w:ascii="Verdana" w:hAnsi="Verdana"/>
          <w:bCs/>
          <w:iCs/>
          <w:sz w:val="22"/>
          <w:szCs w:val="22"/>
          <w:lang w:val="en-PH"/>
        </w:rPr>
        <w:t xml:space="preserve"> </w:t>
      </w:r>
    </w:p>
    <w:p w14:paraId="64A4DF7E" w14:textId="77777777" w:rsidR="00710E49" w:rsidRPr="0083451B" w:rsidRDefault="00710E49" w:rsidP="00710E49">
      <w:pPr>
        <w:pStyle w:val="ListParagraph"/>
        <w:rPr>
          <w:rFonts w:ascii="Verdana" w:hAnsi="Verdana"/>
          <w:bCs/>
          <w:iCs/>
          <w:sz w:val="22"/>
          <w:szCs w:val="22"/>
          <w:lang w:val="en-PH"/>
        </w:rPr>
      </w:pPr>
    </w:p>
    <w:bookmarkEnd w:id="18"/>
    <w:bookmarkEnd w:id="19"/>
    <w:p w14:paraId="241ED099" w14:textId="77777777" w:rsidR="00710E49" w:rsidRPr="0083451B" w:rsidRDefault="00710E49" w:rsidP="00710E49">
      <w:pPr>
        <w:rPr>
          <w:rFonts w:ascii="Verdana" w:hAnsi="Verdana"/>
          <w:b/>
          <w:sz w:val="22"/>
          <w:szCs w:val="22"/>
          <w:lang w:val="en-PH"/>
        </w:rPr>
      </w:pPr>
      <w:r w:rsidRPr="0083451B">
        <w:rPr>
          <w:rFonts w:ascii="Verdana" w:hAnsi="Verdana"/>
          <w:b/>
          <w:sz w:val="22"/>
          <w:szCs w:val="22"/>
          <w:lang w:val="en-PH"/>
        </w:rPr>
        <w:t>Bid and Bid Security (Envelope 3)</w:t>
      </w:r>
    </w:p>
    <w:p w14:paraId="4D353FAB" w14:textId="77777777" w:rsidR="00710E49" w:rsidRPr="0083451B" w:rsidRDefault="00710E49" w:rsidP="00710E49">
      <w:pPr>
        <w:rPr>
          <w:rFonts w:ascii="Verdana" w:hAnsi="Verdana"/>
          <w:sz w:val="22"/>
          <w:szCs w:val="22"/>
          <w:lang w:val="en-PH"/>
        </w:rPr>
      </w:pPr>
    </w:p>
    <w:p w14:paraId="0ED864E8" w14:textId="53E6EB03" w:rsidR="00710E49" w:rsidRPr="0083451B" w:rsidRDefault="00B13F16" w:rsidP="00710E49">
      <w:pPr>
        <w:pStyle w:val="ListParagraph"/>
        <w:numPr>
          <w:ilvl w:val="0"/>
          <w:numId w:val="8"/>
        </w:numPr>
        <w:autoSpaceDN w:val="0"/>
        <w:ind w:hanging="720"/>
        <w:rPr>
          <w:rFonts w:ascii="Verdana" w:hAnsi="Verdana"/>
          <w:color w:val="000000" w:themeColor="text1"/>
          <w:sz w:val="22"/>
          <w:szCs w:val="22"/>
        </w:rPr>
      </w:pPr>
      <w:r w:rsidRPr="0083451B">
        <w:rPr>
          <w:rFonts w:ascii="Verdana" w:hAnsi="Verdana"/>
          <w:color w:val="000000" w:themeColor="text1"/>
          <w:sz w:val="22"/>
          <w:szCs w:val="22"/>
        </w:rPr>
        <w:t xml:space="preserve">Using </w:t>
      </w:r>
      <w:r w:rsidR="00710E49" w:rsidRPr="0083451B">
        <w:rPr>
          <w:rFonts w:ascii="Verdana" w:hAnsi="Verdana"/>
          <w:color w:val="000000" w:themeColor="text1"/>
          <w:sz w:val="22"/>
          <w:szCs w:val="22"/>
        </w:rPr>
        <w:t xml:space="preserve">the relevant forms prescribed in the IPB, </w:t>
      </w:r>
      <w:r w:rsidRPr="0083451B">
        <w:rPr>
          <w:rFonts w:ascii="Verdana" w:hAnsi="Verdana"/>
          <w:color w:val="000000" w:themeColor="text1"/>
          <w:sz w:val="22"/>
          <w:szCs w:val="22"/>
        </w:rPr>
        <w:t>the Bidder must submit its</w:t>
      </w:r>
      <w:r w:rsidR="00710E49" w:rsidRPr="0083451B">
        <w:rPr>
          <w:rFonts w:ascii="Verdana" w:hAnsi="Verdana"/>
          <w:color w:val="000000" w:themeColor="text1"/>
          <w:sz w:val="22"/>
          <w:szCs w:val="22"/>
        </w:rPr>
        <w:t xml:space="preserve"> Bid Letter, Bid Security</w:t>
      </w:r>
      <w:r w:rsidR="00FA0AC6" w:rsidRPr="0083451B">
        <w:rPr>
          <w:rFonts w:ascii="Verdana" w:hAnsi="Verdana"/>
          <w:color w:val="000000" w:themeColor="text1"/>
          <w:sz w:val="22"/>
          <w:szCs w:val="22"/>
        </w:rPr>
        <w:t xml:space="preserve"> (as defined below)</w:t>
      </w:r>
      <w:r w:rsidR="00710E49" w:rsidRPr="0083451B">
        <w:rPr>
          <w:rFonts w:ascii="Verdana" w:hAnsi="Verdana"/>
          <w:color w:val="000000" w:themeColor="text1"/>
          <w:sz w:val="22"/>
          <w:szCs w:val="22"/>
        </w:rPr>
        <w:t xml:space="preserve">, Proposed Price (in hard copy form and in </w:t>
      </w:r>
      <w:r w:rsidR="00283C89" w:rsidRPr="0083451B">
        <w:rPr>
          <w:rFonts w:ascii="Verdana" w:hAnsi="Verdana"/>
          <w:color w:val="000000" w:themeColor="text1"/>
          <w:sz w:val="22"/>
          <w:szCs w:val="22"/>
        </w:rPr>
        <w:t>the</w:t>
      </w:r>
      <w:r w:rsidR="00710E49" w:rsidRPr="0083451B">
        <w:rPr>
          <w:rFonts w:ascii="Verdana" w:hAnsi="Verdana"/>
          <w:color w:val="000000" w:themeColor="text1"/>
          <w:sz w:val="22"/>
          <w:szCs w:val="22"/>
        </w:rPr>
        <w:t xml:space="preserve"> </w:t>
      </w:r>
      <w:r w:rsidR="00283C89" w:rsidRPr="0083451B">
        <w:rPr>
          <w:rFonts w:ascii="Verdana" w:hAnsi="Verdana"/>
          <w:b/>
          <w:bCs/>
          <w:color w:val="000000" w:themeColor="text1"/>
          <w:sz w:val="22"/>
          <w:szCs w:val="22"/>
        </w:rPr>
        <w:t xml:space="preserve">Financial Evaluation Workbook </w:t>
      </w:r>
      <w:r w:rsidR="00710E49" w:rsidRPr="0083451B">
        <w:rPr>
          <w:rFonts w:ascii="Verdana" w:hAnsi="Verdana"/>
          <w:color w:val="000000" w:themeColor="text1"/>
          <w:sz w:val="22"/>
          <w:szCs w:val="22"/>
        </w:rPr>
        <w:t>encoded in a CD-R/DVD-R optical storage device or a USB/thumb flash memory drive</w:t>
      </w:r>
      <w:r w:rsidRPr="0083451B">
        <w:rPr>
          <w:rFonts w:ascii="Verdana" w:hAnsi="Verdana"/>
          <w:color w:val="000000" w:themeColor="text1"/>
          <w:sz w:val="22"/>
          <w:szCs w:val="22"/>
        </w:rPr>
        <w:t>)</w:t>
      </w:r>
      <w:r w:rsidR="00044628" w:rsidRPr="0083451B">
        <w:rPr>
          <w:rFonts w:ascii="Verdana" w:hAnsi="Verdana"/>
          <w:color w:val="000000" w:themeColor="text1"/>
          <w:sz w:val="22"/>
          <w:szCs w:val="22"/>
        </w:rPr>
        <w:t xml:space="preserve">, and a signed </w:t>
      </w:r>
      <w:r w:rsidR="00044628" w:rsidRPr="0083451B">
        <w:rPr>
          <w:rFonts w:ascii="Verdana" w:hAnsi="Verdana"/>
          <w:color w:val="000000" w:themeColor="text1"/>
          <w:sz w:val="22"/>
          <w:szCs w:val="22"/>
          <w:lang w:val="en-PH"/>
        </w:rPr>
        <w:t>Letter of Acknowledgement and Acceptance of the Power Supply Agreement template</w:t>
      </w:r>
      <w:r w:rsidR="00175B71" w:rsidRPr="0083451B">
        <w:rPr>
          <w:rFonts w:ascii="Verdana" w:hAnsi="Verdana"/>
          <w:color w:val="000000" w:themeColor="text1"/>
          <w:sz w:val="22"/>
          <w:szCs w:val="22"/>
          <w:lang w:val="en-PH"/>
        </w:rPr>
        <w:t xml:space="preserve"> (collectively referred to as the “</w:t>
      </w:r>
      <w:r w:rsidR="00175B71" w:rsidRPr="0083451B">
        <w:rPr>
          <w:rFonts w:ascii="Verdana" w:hAnsi="Verdana"/>
          <w:b/>
          <w:color w:val="000000" w:themeColor="text1"/>
          <w:sz w:val="22"/>
          <w:szCs w:val="22"/>
          <w:lang w:val="en-PH"/>
        </w:rPr>
        <w:t>Bid</w:t>
      </w:r>
      <w:r w:rsidR="00175B71" w:rsidRPr="0083451B">
        <w:rPr>
          <w:rFonts w:ascii="Verdana" w:hAnsi="Verdana"/>
          <w:color w:val="000000" w:themeColor="text1"/>
          <w:sz w:val="22"/>
          <w:szCs w:val="22"/>
          <w:lang w:val="en-PH"/>
        </w:rPr>
        <w:t>”)</w:t>
      </w:r>
      <w:r w:rsidRPr="0083451B">
        <w:rPr>
          <w:rFonts w:ascii="Verdana" w:hAnsi="Verdana"/>
          <w:color w:val="000000" w:themeColor="text1"/>
          <w:sz w:val="22"/>
          <w:szCs w:val="22"/>
        </w:rPr>
        <w:t>; and</w:t>
      </w:r>
      <w:r w:rsidR="00710E49" w:rsidRPr="0083451B">
        <w:rPr>
          <w:rFonts w:ascii="Verdana" w:hAnsi="Verdana"/>
          <w:color w:val="000000" w:themeColor="text1"/>
          <w:sz w:val="22"/>
          <w:szCs w:val="22"/>
        </w:rPr>
        <w:t xml:space="preserve"> </w:t>
      </w:r>
    </w:p>
    <w:p w14:paraId="1EA3CD55" w14:textId="77777777" w:rsidR="00710E49" w:rsidRPr="0083451B" w:rsidRDefault="00710E49" w:rsidP="00710E49">
      <w:pPr>
        <w:pStyle w:val="ListParagraph"/>
        <w:autoSpaceDN w:val="0"/>
        <w:rPr>
          <w:rFonts w:ascii="Verdana" w:hAnsi="Verdana"/>
          <w:color w:val="000000" w:themeColor="text1"/>
          <w:sz w:val="22"/>
          <w:szCs w:val="22"/>
        </w:rPr>
      </w:pPr>
    </w:p>
    <w:p w14:paraId="0B8C4F57" w14:textId="2627BAE5" w:rsidR="0093397E" w:rsidRPr="0083451B" w:rsidRDefault="00710E49" w:rsidP="00E978BC">
      <w:pPr>
        <w:pStyle w:val="ListParagraph"/>
        <w:numPr>
          <w:ilvl w:val="0"/>
          <w:numId w:val="8"/>
        </w:numPr>
        <w:autoSpaceDN w:val="0"/>
        <w:ind w:hanging="720"/>
        <w:rPr>
          <w:sz w:val="22"/>
          <w:szCs w:val="22"/>
        </w:rPr>
      </w:pPr>
      <w:r w:rsidRPr="0083451B">
        <w:rPr>
          <w:rFonts w:ascii="Verdana" w:hAnsi="Verdana"/>
          <w:color w:val="000000" w:themeColor="text1"/>
          <w:sz w:val="22"/>
          <w:szCs w:val="22"/>
        </w:rPr>
        <w:t>The</w:t>
      </w:r>
      <w:r w:rsidRPr="0083451B">
        <w:rPr>
          <w:rFonts w:ascii="Verdana" w:hAnsi="Verdana" w:cs="Tahoma"/>
          <w:sz w:val="22"/>
          <w:szCs w:val="22"/>
        </w:rPr>
        <w:t xml:space="preserve"> Bid Security should be in the form of an irrevocable standby letter of credit </w:t>
      </w:r>
      <w:r w:rsidR="00FA0AC6" w:rsidRPr="0083451B">
        <w:rPr>
          <w:rFonts w:ascii="Verdana" w:hAnsi="Verdana" w:cs="Tahoma"/>
          <w:sz w:val="22"/>
          <w:szCs w:val="22"/>
        </w:rPr>
        <w:t>equivalent to</w:t>
      </w:r>
      <w:r w:rsidR="00D91C3E" w:rsidRPr="0083451B">
        <w:rPr>
          <w:rFonts w:ascii="Verdana" w:hAnsi="Verdana" w:cs="Tahoma"/>
          <w:sz w:val="22"/>
          <w:szCs w:val="22"/>
        </w:rPr>
        <w:t xml:space="preserve"> </w:t>
      </w:r>
      <w:r w:rsidR="009E0397">
        <w:rPr>
          <w:rFonts w:ascii="Verdana" w:hAnsi="Verdana"/>
          <w:sz w:val="22"/>
          <w:szCs w:val="22"/>
        </w:rPr>
        <w:t>One</w:t>
      </w:r>
      <w:r w:rsidR="009E0397" w:rsidRPr="004B407D">
        <w:rPr>
          <w:rFonts w:ascii="Verdana" w:hAnsi="Verdana"/>
          <w:sz w:val="22"/>
          <w:szCs w:val="22"/>
        </w:rPr>
        <w:t xml:space="preserve"> Billion and </w:t>
      </w:r>
      <w:r w:rsidR="009E0397">
        <w:rPr>
          <w:rFonts w:ascii="Verdana" w:hAnsi="Verdana"/>
          <w:sz w:val="22"/>
          <w:szCs w:val="22"/>
        </w:rPr>
        <w:t>Eight</w:t>
      </w:r>
      <w:r w:rsidR="009E0397" w:rsidRPr="004B407D">
        <w:rPr>
          <w:rFonts w:ascii="Verdana" w:hAnsi="Verdana"/>
          <w:sz w:val="22"/>
          <w:szCs w:val="22"/>
        </w:rPr>
        <w:t xml:space="preserve"> Hundred </w:t>
      </w:r>
      <w:r w:rsidR="009E0397">
        <w:rPr>
          <w:rFonts w:ascii="Verdana" w:hAnsi="Verdana"/>
          <w:sz w:val="22"/>
          <w:szCs w:val="22"/>
        </w:rPr>
        <w:t>Twenty-Five</w:t>
      </w:r>
      <w:r w:rsidR="009E0397" w:rsidRPr="004B407D">
        <w:rPr>
          <w:rFonts w:ascii="Verdana" w:hAnsi="Verdana"/>
          <w:sz w:val="22"/>
          <w:szCs w:val="22"/>
        </w:rPr>
        <w:t xml:space="preserve"> Million Pesos </w:t>
      </w:r>
      <w:r w:rsidR="009E0397" w:rsidRPr="00992BFC">
        <w:rPr>
          <w:rFonts w:ascii="Verdana" w:hAnsi="Verdana"/>
          <w:sz w:val="22"/>
          <w:szCs w:val="22"/>
        </w:rPr>
        <w:t xml:space="preserve">(PhP1,825,000,000.00) </w:t>
      </w:r>
      <w:r w:rsidR="009E0397" w:rsidRPr="00992BFC">
        <w:rPr>
          <w:rFonts w:ascii="Verdana" w:hAnsi="Verdana"/>
          <w:sz w:val="22"/>
          <w:szCs w:val="22"/>
          <w:lang w:val="en-PH"/>
        </w:rPr>
        <w:t>per block of Offered Contract Capacity</w:t>
      </w:r>
      <w:r w:rsidRPr="009E0397">
        <w:rPr>
          <w:rFonts w:ascii="Verdana" w:hAnsi="Verdana" w:cs="Tahoma"/>
          <w:sz w:val="22"/>
          <w:szCs w:val="22"/>
        </w:rPr>
        <w:t>, which must be</w:t>
      </w:r>
      <w:r w:rsidRPr="0083451B">
        <w:rPr>
          <w:rFonts w:ascii="Verdana" w:hAnsi="Verdana" w:cs="Tahoma"/>
          <w:sz w:val="22"/>
          <w:szCs w:val="22"/>
        </w:rPr>
        <w:t xml:space="preserve"> issued by </w:t>
      </w:r>
      <w:r w:rsidR="007112BB" w:rsidRPr="0083451B">
        <w:rPr>
          <w:rFonts w:ascii="Verdana" w:hAnsi="Verdana"/>
          <w:color w:val="000000" w:themeColor="text1"/>
          <w:sz w:val="22"/>
          <w:szCs w:val="22"/>
          <w:lang w:val="en-PH"/>
        </w:rPr>
        <w:t xml:space="preserve">an </w:t>
      </w:r>
      <w:r w:rsidR="00DC2C42" w:rsidRPr="0083451B">
        <w:rPr>
          <w:rFonts w:ascii="Verdana" w:hAnsi="Verdana"/>
          <w:color w:val="000000" w:themeColor="text1"/>
          <w:sz w:val="22"/>
          <w:szCs w:val="22"/>
          <w:lang w:val="en-PH"/>
        </w:rPr>
        <w:t xml:space="preserve">Allowed </w:t>
      </w:r>
      <w:r w:rsidR="007112BB" w:rsidRPr="0083451B">
        <w:rPr>
          <w:rFonts w:ascii="Verdana" w:hAnsi="Verdana"/>
          <w:color w:val="000000" w:themeColor="text1"/>
          <w:sz w:val="22"/>
          <w:szCs w:val="22"/>
          <w:lang w:val="en-PH"/>
        </w:rPr>
        <w:t>Bank listed in the IPB</w:t>
      </w:r>
      <w:r w:rsidR="007112BB" w:rsidRPr="0083451B">
        <w:rPr>
          <w:rFonts w:ascii="Verdana" w:hAnsi="Verdana"/>
          <w:sz w:val="22"/>
          <w:szCs w:val="22"/>
        </w:rPr>
        <w:t xml:space="preserve"> </w:t>
      </w:r>
      <w:r w:rsidRPr="0083451B">
        <w:rPr>
          <w:rFonts w:ascii="Verdana" w:hAnsi="Verdana" w:cs="Tahoma"/>
          <w:sz w:val="22"/>
          <w:szCs w:val="22"/>
        </w:rPr>
        <w:t>and in the form required of the Bidders in the IPB (the “</w:t>
      </w:r>
      <w:r w:rsidRPr="0083451B">
        <w:rPr>
          <w:rFonts w:ascii="Verdana" w:hAnsi="Verdana" w:cs="Tahoma"/>
          <w:b/>
          <w:sz w:val="22"/>
          <w:szCs w:val="22"/>
          <w:u w:val="single"/>
        </w:rPr>
        <w:t>Bid Security</w:t>
      </w:r>
      <w:r w:rsidRPr="0083451B">
        <w:rPr>
          <w:rFonts w:ascii="Verdana" w:hAnsi="Verdana" w:cs="Tahoma"/>
          <w:sz w:val="22"/>
          <w:szCs w:val="22"/>
        </w:rPr>
        <w:t>”)</w:t>
      </w:r>
      <w:r w:rsidRPr="0083451B">
        <w:rPr>
          <w:rFonts w:ascii="Verdana" w:hAnsi="Verdana"/>
          <w:sz w:val="22"/>
          <w:szCs w:val="22"/>
          <w:lang w:val="en-PH"/>
        </w:rPr>
        <w:t>.</w:t>
      </w:r>
    </w:p>
    <w:sectPr w:rsidR="0093397E" w:rsidRPr="0083451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D383" w14:textId="77777777" w:rsidR="006247BD" w:rsidRDefault="006247BD" w:rsidP="000B34EA">
      <w:r>
        <w:separator/>
      </w:r>
    </w:p>
  </w:endnote>
  <w:endnote w:type="continuationSeparator" w:id="0">
    <w:p w14:paraId="57BC1364" w14:textId="77777777" w:rsidR="006247BD" w:rsidRDefault="006247BD" w:rsidP="000B34EA">
      <w:r>
        <w:continuationSeparator/>
      </w:r>
    </w:p>
  </w:endnote>
  <w:endnote w:type="continuationNotice" w:id="1">
    <w:p w14:paraId="327EC85C" w14:textId="77777777" w:rsidR="004001FB" w:rsidRDefault="0040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54423959"/>
      <w:docPartObj>
        <w:docPartGallery w:val="Page Numbers (Bottom of Page)"/>
        <w:docPartUnique/>
      </w:docPartObj>
    </w:sdtPr>
    <w:sdtEndPr>
      <w:rPr>
        <w:noProof/>
      </w:rPr>
    </w:sdtEndPr>
    <w:sdtContent>
      <w:p w14:paraId="4BFE9A09" w14:textId="17BCD69D" w:rsidR="006247BD" w:rsidRPr="00020A73" w:rsidRDefault="006247BD" w:rsidP="00020A73">
        <w:pPr>
          <w:pStyle w:val="Footer"/>
          <w:rPr>
            <w:rFonts w:ascii="Verdana" w:hAnsi="Verdana"/>
            <w:sz w:val="16"/>
            <w:szCs w:val="16"/>
          </w:rPr>
        </w:pPr>
        <w:r w:rsidRPr="00020A73">
          <w:rPr>
            <w:rFonts w:ascii="Verdana" w:hAnsi="Verdana"/>
            <w:b/>
            <w:sz w:val="16"/>
            <w:szCs w:val="16"/>
          </w:rPr>
          <w:t>1,200 MW 2024</w:t>
        </w:r>
        <w:r w:rsidRPr="00020A73">
          <w:rPr>
            <w:rFonts w:ascii="Verdana" w:hAnsi="Verdana"/>
            <w:sz w:val="16"/>
            <w:szCs w:val="16"/>
          </w:rPr>
          <w:tab/>
        </w:r>
        <w:r w:rsidRPr="00020A73">
          <w:rPr>
            <w:rFonts w:ascii="Verdana" w:hAnsi="Verdana"/>
            <w:sz w:val="16"/>
            <w:szCs w:val="16"/>
          </w:rPr>
          <w:tab/>
        </w:r>
        <w:r w:rsidRPr="00020A73">
          <w:rPr>
            <w:rFonts w:ascii="Verdana" w:hAnsi="Verdana"/>
            <w:sz w:val="16"/>
            <w:szCs w:val="16"/>
          </w:rPr>
          <w:fldChar w:fldCharType="begin"/>
        </w:r>
        <w:r w:rsidRPr="00020A73">
          <w:rPr>
            <w:rFonts w:ascii="Verdana" w:hAnsi="Verdana"/>
            <w:sz w:val="16"/>
            <w:szCs w:val="16"/>
          </w:rPr>
          <w:instrText xml:space="preserve"> PAGE   \* MERGEFORMAT </w:instrText>
        </w:r>
        <w:r w:rsidRPr="00020A73">
          <w:rPr>
            <w:rFonts w:ascii="Verdana" w:hAnsi="Verdana"/>
            <w:sz w:val="16"/>
            <w:szCs w:val="16"/>
          </w:rPr>
          <w:fldChar w:fldCharType="separate"/>
        </w:r>
        <w:r w:rsidR="00244A19">
          <w:rPr>
            <w:rFonts w:ascii="Verdana" w:hAnsi="Verdana"/>
            <w:noProof/>
            <w:sz w:val="16"/>
            <w:szCs w:val="16"/>
          </w:rPr>
          <w:t>3</w:t>
        </w:r>
        <w:r w:rsidRPr="00020A73">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BA8F3" w14:textId="77777777" w:rsidR="006247BD" w:rsidRDefault="006247BD" w:rsidP="000B34EA">
      <w:r>
        <w:separator/>
      </w:r>
    </w:p>
  </w:footnote>
  <w:footnote w:type="continuationSeparator" w:id="0">
    <w:p w14:paraId="0576A0FE" w14:textId="77777777" w:rsidR="006247BD" w:rsidRDefault="006247BD" w:rsidP="000B34EA">
      <w:r>
        <w:continuationSeparator/>
      </w:r>
    </w:p>
  </w:footnote>
  <w:footnote w:type="continuationNotice" w:id="1">
    <w:p w14:paraId="659DC705" w14:textId="77777777" w:rsidR="004001FB" w:rsidRDefault="00400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2FC4"/>
    <w:multiLevelType w:val="hybridMultilevel"/>
    <w:tmpl w:val="888E1B94"/>
    <w:lvl w:ilvl="0" w:tplc="13EA6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34E78"/>
    <w:multiLevelType w:val="hybridMultilevel"/>
    <w:tmpl w:val="1F766D56"/>
    <w:lvl w:ilvl="0" w:tplc="B844B1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8375A"/>
    <w:multiLevelType w:val="hybridMultilevel"/>
    <w:tmpl w:val="8974AFB6"/>
    <w:lvl w:ilvl="0" w:tplc="8502FD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20458"/>
    <w:multiLevelType w:val="multilevel"/>
    <w:tmpl w:val="9892AE58"/>
    <w:lvl w:ilvl="0">
      <w:start w:val="1"/>
      <w:numFmt w:val="decimal"/>
      <w:lvlText w:val="%1."/>
      <w:lvlJc w:val="left"/>
      <w:pPr>
        <w:ind w:left="360" w:hanging="360"/>
      </w:pPr>
      <w:rPr>
        <w:rFonts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1"/>
      <w:numFmt w:val="lowerLetter"/>
      <w:lvlText w:val="(%3)"/>
      <w:lvlJc w:val="left"/>
      <w:pPr>
        <w:ind w:left="0" w:firstLine="0"/>
      </w:pPr>
      <w:rPr>
        <w:rFonts w:ascii="Verdana" w:hAnsi="Verdana" w:hint="default"/>
        <w:b w:val="0"/>
        <w:i w:val="0"/>
        <w:sz w:val="24"/>
        <w:szCs w:val="24"/>
      </w:rPr>
    </w:lvl>
    <w:lvl w:ilvl="3">
      <w:start w:val="1"/>
      <w:numFmt w:val="lowerRoman"/>
      <w:lvlText w:val="%4."/>
      <w:lvlJc w:val="right"/>
      <w:pPr>
        <w:ind w:left="1440" w:hanging="720"/>
      </w:pPr>
      <w:rPr>
        <w:rFonts w:hint="default"/>
        <w:b w:val="0"/>
        <w:i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66E99"/>
    <w:multiLevelType w:val="hybridMultilevel"/>
    <w:tmpl w:val="7732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F51D7"/>
    <w:multiLevelType w:val="multilevel"/>
    <w:tmpl w:val="7932DDEC"/>
    <w:lvl w:ilvl="0">
      <w:start w:val="1"/>
      <w:numFmt w:val="decimal"/>
      <w:lvlText w:val="%1."/>
      <w:lvlJc w:val="left"/>
      <w:pPr>
        <w:ind w:left="360" w:hanging="360"/>
      </w:pPr>
      <w:rPr>
        <w:rFonts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1"/>
      <w:numFmt w:val="lowerLetter"/>
      <w:lvlText w:val="(%3)"/>
      <w:lvlJc w:val="left"/>
      <w:pPr>
        <w:ind w:left="900" w:firstLine="0"/>
      </w:pPr>
      <w:rPr>
        <w:rFonts w:ascii="Verdana" w:hAnsi="Verdana" w:hint="default"/>
        <w:b w:val="0"/>
        <w:i w:val="0"/>
        <w:sz w:val="24"/>
        <w:szCs w:val="24"/>
      </w:rPr>
    </w:lvl>
    <w:lvl w:ilvl="3">
      <w:start w:val="1"/>
      <w:numFmt w:val="lowerRoman"/>
      <w:lvlText w:val="(%4)"/>
      <w:lvlJc w:val="left"/>
      <w:pPr>
        <w:ind w:left="1440" w:hanging="720"/>
      </w:pPr>
      <w:rPr>
        <w:rFonts w:ascii="Verdana" w:hAnsi="Verdana"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2134DF"/>
    <w:multiLevelType w:val="hybridMultilevel"/>
    <w:tmpl w:val="7610B956"/>
    <w:lvl w:ilvl="0" w:tplc="34090019">
      <w:start w:val="1"/>
      <w:numFmt w:val="lowerLetter"/>
      <w:lvlText w:val="%1."/>
      <w:lvlJc w:val="left"/>
      <w:pPr>
        <w:ind w:left="720" w:hanging="360"/>
      </w:pPr>
    </w:lvl>
    <w:lvl w:ilvl="1" w:tplc="8BB0733C">
      <w:start w:val="1"/>
      <w:numFmt w:val="lowerLetter"/>
      <w:lvlText w:val="%2."/>
      <w:lvlJc w:val="left"/>
      <w:pPr>
        <w:ind w:left="1440" w:hanging="360"/>
      </w:pPr>
      <w:rPr>
        <w:b w:val="0"/>
      </w:r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7" w15:restartNumberingAfterBreak="0">
    <w:nsid w:val="349F04A1"/>
    <w:multiLevelType w:val="multilevel"/>
    <w:tmpl w:val="B2923E78"/>
    <w:lvl w:ilvl="0">
      <w:start w:val="1"/>
      <w:numFmt w:val="decimal"/>
      <w:lvlText w:val="SECTION %1."/>
      <w:lvlJc w:val="left"/>
      <w:pPr>
        <w:ind w:left="360" w:hanging="360"/>
      </w:pPr>
      <w:rPr>
        <w:rFonts w:ascii="Verdana" w:hAnsi="Verdana"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1"/>
      <w:numFmt w:val="lowerLetter"/>
      <w:lvlText w:val="(%3)"/>
      <w:lvlJc w:val="left"/>
      <w:pPr>
        <w:ind w:left="0" w:firstLine="0"/>
      </w:pPr>
      <w:rPr>
        <w:rFonts w:ascii="Verdana" w:hAnsi="Verdana" w:hint="default"/>
        <w:b w:val="0"/>
        <w:i w:val="0"/>
        <w:sz w:val="24"/>
        <w:szCs w:val="24"/>
      </w:rPr>
    </w:lvl>
    <w:lvl w:ilvl="3">
      <w:start w:val="1"/>
      <w:numFmt w:val="lowerRoman"/>
      <w:lvlText w:val="(%4)"/>
      <w:lvlJc w:val="left"/>
      <w:pPr>
        <w:ind w:left="1440" w:hanging="720"/>
      </w:pPr>
      <w:rPr>
        <w:rFonts w:ascii="Verdana" w:hAnsi="Verdana"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D877A2"/>
    <w:multiLevelType w:val="hybridMultilevel"/>
    <w:tmpl w:val="F4ECCCE2"/>
    <w:lvl w:ilvl="0" w:tplc="85AC9C54">
      <w:start w:val="1"/>
      <w:numFmt w:val="low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12615"/>
    <w:multiLevelType w:val="hybridMultilevel"/>
    <w:tmpl w:val="F982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847E4"/>
    <w:multiLevelType w:val="hybridMultilevel"/>
    <w:tmpl w:val="D6F05182"/>
    <w:lvl w:ilvl="0" w:tplc="622241D4">
      <w:start w:val="1"/>
      <w:numFmt w:val="lowerLetter"/>
      <w:lvlText w:val="(%1)"/>
      <w:lvlJc w:val="left"/>
      <w:pPr>
        <w:ind w:left="720" w:hanging="360"/>
      </w:pPr>
      <w:rPr>
        <w:rFonts w:ascii="Verdana" w:hAnsi="Verdana"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750155F"/>
    <w:multiLevelType w:val="multilevel"/>
    <w:tmpl w:val="8B92E5E2"/>
    <w:lvl w:ilvl="0">
      <w:start w:val="1"/>
      <w:numFmt w:val="decimal"/>
      <w:lvlText w:val="%1."/>
      <w:lvlJc w:val="left"/>
      <w:pPr>
        <w:ind w:left="360" w:hanging="360"/>
      </w:pPr>
      <w:rPr>
        <w:rFonts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8"/>
      <w:numFmt w:val="lowerLetter"/>
      <w:lvlText w:val="(%3)"/>
      <w:lvlJc w:val="left"/>
      <w:pPr>
        <w:ind w:left="0" w:firstLine="0"/>
      </w:pPr>
      <w:rPr>
        <w:rFonts w:ascii="Verdana" w:hAnsi="Verdana" w:hint="default"/>
        <w:b w:val="0"/>
        <w:i w:val="0"/>
        <w:sz w:val="24"/>
        <w:szCs w:val="24"/>
      </w:rPr>
    </w:lvl>
    <w:lvl w:ilvl="3">
      <w:start w:val="8"/>
      <w:numFmt w:val="lowerLetter"/>
      <w:lvlText w:val="(%4)"/>
      <w:lvlJc w:val="left"/>
      <w:pPr>
        <w:ind w:left="900" w:hanging="720"/>
      </w:pPr>
      <w:rPr>
        <w:rFonts w:ascii="Verdana" w:hAnsi="Verdana" w:hint="default"/>
        <w:b w:val="0"/>
        <w:i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0C7884"/>
    <w:multiLevelType w:val="hybridMultilevel"/>
    <w:tmpl w:val="50CADAEC"/>
    <w:lvl w:ilvl="0" w:tplc="34090001">
      <w:start w:val="1"/>
      <w:numFmt w:val="bullet"/>
      <w:lvlText w:val=""/>
      <w:lvlJc w:val="left"/>
      <w:pPr>
        <w:ind w:left="360" w:hanging="360"/>
      </w:pPr>
      <w:rPr>
        <w:rFonts w:ascii="Symbol" w:hAnsi="Symbol" w:hint="default"/>
      </w:rPr>
    </w:lvl>
    <w:lvl w:ilvl="1" w:tplc="2BB41EA4">
      <w:start w:val="1"/>
      <w:numFmt w:val="bullet"/>
      <w:lvlText w:val="-"/>
      <w:lvlJc w:val="left"/>
      <w:pPr>
        <w:ind w:left="1080" w:hanging="360"/>
      </w:pPr>
      <w:rPr>
        <w:rFonts w:ascii="Courier New" w:hAnsi="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3" w15:restartNumberingAfterBreak="0">
    <w:nsid w:val="54075DCE"/>
    <w:multiLevelType w:val="multilevel"/>
    <w:tmpl w:val="6C6E45DA"/>
    <w:lvl w:ilvl="0">
      <w:start w:val="1"/>
      <w:numFmt w:val="decimal"/>
      <w:lvlText w:val="%1."/>
      <w:lvlJc w:val="left"/>
      <w:pPr>
        <w:ind w:left="360" w:hanging="360"/>
      </w:pPr>
      <w:rPr>
        <w:rFonts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6"/>
      <w:numFmt w:val="lowerLetter"/>
      <w:lvlText w:val="(%3)"/>
      <w:lvlJc w:val="left"/>
      <w:pPr>
        <w:ind w:left="0" w:firstLine="0"/>
      </w:pPr>
      <w:rPr>
        <w:rFonts w:ascii="Verdana" w:hAnsi="Verdana" w:hint="default"/>
        <w:b w:val="0"/>
        <w:i w:val="0"/>
        <w:sz w:val="22"/>
        <w:szCs w:val="22"/>
      </w:rPr>
    </w:lvl>
    <w:lvl w:ilvl="3">
      <w:start w:val="1"/>
      <w:numFmt w:val="lowerLetter"/>
      <w:lvlText w:val="(%4)"/>
      <w:lvlJc w:val="left"/>
      <w:pPr>
        <w:ind w:left="900" w:hanging="720"/>
      </w:pPr>
      <w:rPr>
        <w:rFonts w:ascii="Verdana" w:hAnsi="Verdana" w:hint="default"/>
        <w:b w:val="0"/>
        <w:i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B712AE"/>
    <w:multiLevelType w:val="hybridMultilevel"/>
    <w:tmpl w:val="F1387638"/>
    <w:lvl w:ilvl="0" w:tplc="CE623F96">
      <w:start w:val="1"/>
      <w:numFmt w:val="lowerRoman"/>
      <w:lvlText w:val="(%1)"/>
      <w:lvlJc w:val="left"/>
      <w:pPr>
        <w:ind w:left="3240" w:hanging="1080"/>
      </w:pPr>
      <w:rPr>
        <w:rFonts w:ascii="Verdana" w:eastAsia="Times New Roman" w:hAnsi="Verdana"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391A30"/>
    <w:multiLevelType w:val="multilevel"/>
    <w:tmpl w:val="3EA6F2EE"/>
    <w:lvl w:ilvl="0">
      <w:start w:val="1"/>
      <w:numFmt w:val="decimal"/>
      <w:lvlText w:val="%1."/>
      <w:lvlJc w:val="left"/>
      <w:pPr>
        <w:ind w:left="360" w:hanging="360"/>
      </w:pPr>
      <w:rPr>
        <w:rFonts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8"/>
      <w:numFmt w:val="lowerLetter"/>
      <w:lvlText w:val="(%3)"/>
      <w:lvlJc w:val="left"/>
      <w:pPr>
        <w:ind w:left="0" w:firstLine="0"/>
      </w:pPr>
      <w:rPr>
        <w:rFonts w:ascii="Verdana" w:hAnsi="Verdana" w:hint="default"/>
        <w:b w:val="0"/>
        <w:i w:val="0"/>
        <w:sz w:val="24"/>
        <w:szCs w:val="24"/>
      </w:rPr>
    </w:lvl>
    <w:lvl w:ilvl="3">
      <w:start w:val="9"/>
      <w:numFmt w:val="lowerLetter"/>
      <w:lvlText w:val="(%4)"/>
      <w:lvlJc w:val="left"/>
      <w:pPr>
        <w:ind w:left="900" w:hanging="720"/>
      </w:pPr>
      <w:rPr>
        <w:rFonts w:ascii="Verdana" w:hAnsi="Verdana" w:hint="default"/>
        <w:b w:val="0"/>
        <w:i w:val="0"/>
        <w:sz w:val="22"/>
        <w:szCs w:val="22"/>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A2722B"/>
    <w:multiLevelType w:val="multilevel"/>
    <w:tmpl w:val="EC4A7F4E"/>
    <w:lvl w:ilvl="0">
      <w:start w:val="1"/>
      <w:numFmt w:val="decimal"/>
      <w:lvlText w:val="%1."/>
      <w:lvlJc w:val="left"/>
      <w:pPr>
        <w:ind w:left="360" w:hanging="360"/>
      </w:pPr>
      <w:rPr>
        <w:rFonts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1"/>
      <w:numFmt w:val="lowerLetter"/>
      <w:lvlText w:val="(%3)"/>
      <w:lvlJc w:val="left"/>
      <w:pPr>
        <w:ind w:left="0" w:firstLine="0"/>
      </w:pPr>
      <w:rPr>
        <w:rFonts w:ascii="Verdana" w:hAnsi="Verdana" w:hint="default"/>
        <w:b w:val="0"/>
        <w:i w:val="0"/>
        <w:sz w:val="24"/>
        <w:szCs w:val="24"/>
      </w:rPr>
    </w:lvl>
    <w:lvl w:ilvl="3">
      <w:start w:val="1"/>
      <w:numFmt w:val="lowerLetter"/>
      <w:lvlText w:val="(%4)"/>
      <w:lvlJc w:val="left"/>
      <w:pPr>
        <w:ind w:left="900" w:hanging="720"/>
      </w:pPr>
      <w:rPr>
        <w:rFonts w:ascii="Verdana" w:hAnsi="Verdana" w:hint="default"/>
        <w:b w:val="0"/>
        <w:i w:val="0"/>
        <w:sz w:val="22"/>
        <w:szCs w:val="22"/>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CF2DF4"/>
    <w:multiLevelType w:val="multilevel"/>
    <w:tmpl w:val="B2923E78"/>
    <w:lvl w:ilvl="0">
      <w:start w:val="1"/>
      <w:numFmt w:val="decimal"/>
      <w:lvlText w:val="SECTION %1."/>
      <w:lvlJc w:val="left"/>
      <w:pPr>
        <w:ind w:left="360" w:hanging="360"/>
      </w:pPr>
      <w:rPr>
        <w:rFonts w:ascii="Verdana" w:hAnsi="Verdana" w:hint="default"/>
        <w:b/>
        <w:i w:val="0"/>
        <w:sz w:val="24"/>
        <w:szCs w:val="24"/>
      </w:rPr>
    </w:lvl>
    <w:lvl w:ilvl="1">
      <w:start w:val="1"/>
      <w:numFmt w:val="decimal"/>
      <w:lvlText w:val="%1.%2."/>
      <w:lvlJc w:val="left"/>
      <w:pPr>
        <w:ind w:left="720" w:hanging="720"/>
      </w:pPr>
      <w:rPr>
        <w:rFonts w:ascii="Verdana" w:hAnsi="Verdana" w:hint="default"/>
        <w:b w:val="0"/>
        <w:i w:val="0"/>
        <w:sz w:val="24"/>
        <w:szCs w:val="24"/>
      </w:rPr>
    </w:lvl>
    <w:lvl w:ilvl="2">
      <w:start w:val="1"/>
      <w:numFmt w:val="lowerLetter"/>
      <w:lvlText w:val="(%3)"/>
      <w:lvlJc w:val="left"/>
      <w:pPr>
        <w:ind w:left="630" w:firstLine="0"/>
      </w:pPr>
      <w:rPr>
        <w:rFonts w:ascii="Verdana" w:hAnsi="Verdana" w:hint="default"/>
        <w:b w:val="0"/>
        <w:i w:val="0"/>
        <w:sz w:val="24"/>
        <w:szCs w:val="24"/>
      </w:rPr>
    </w:lvl>
    <w:lvl w:ilvl="3">
      <w:start w:val="1"/>
      <w:numFmt w:val="lowerRoman"/>
      <w:lvlText w:val="(%4)"/>
      <w:lvlJc w:val="left"/>
      <w:pPr>
        <w:ind w:left="1440" w:hanging="720"/>
      </w:pPr>
      <w:rPr>
        <w:rFonts w:ascii="Verdana" w:hAnsi="Verdana"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E26674"/>
    <w:multiLevelType w:val="hybridMultilevel"/>
    <w:tmpl w:val="0492D412"/>
    <w:lvl w:ilvl="0" w:tplc="3AF07192">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abstractNumId w:val="7"/>
  </w:num>
  <w:num w:numId="2">
    <w:abstractNumId w:val="4"/>
  </w:num>
  <w:num w:numId="3">
    <w:abstractNumId w:val="5"/>
  </w:num>
  <w:num w:numId="4">
    <w:abstractNumId w:val="14"/>
  </w:num>
  <w:num w:numId="5">
    <w:abstractNumId w:val="2"/>
  </w:num>
  <w:num w:numId="6">
    <w:abstractNumId w:val="16"/>
  </w:num>
  <w:num w:numId="7">
    <w:abstractNumId w:val="18"/>
  </w:num>
  <w:num w:numId="8">
    <w:abstractNumId w:val="10"/>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0"/>
  </w:num>
  <w:num w:numId="15">
    <w:abstractNumId w:val="3"/>
  </w:num>
  <w:num w:numId="16">
    <w:abstractNumId w:val="17"/>
  </w:num>
  <w:num w:numId="17">
    <w:abstractNumId w:va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formatting="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49"/>
    <w:rsid w:val="000000F2"/>
    <w:rsid w:val="0000276E"/>
    <w:rsid w:val="000058B6"/>
    <w:rsid w:val="0000602A"/>
    <w:rsid w:val="00006C23"/>
    <w:rsid w:val="00007724"/>
    <w:rsid w:val="00012C06"/>
    <w:rsid w:val="00016F20"/>
    <w:rsid w:val="00017187"/>
    <w:rsid w:val="00020A73"/>
    <w:rsid w:val="00024DD8"/>
    <w:rsid w:val="00026487"/>
    <w:rsid w:val="00032464"/>
    <w:rsid w:val="0003690E"/>
    <w:rsid w:val="00041919"/>
    <w:rsid w:val="00044628"/>
    <w:rsid w:val="00045116"/>
    <w:rsid w:val="00046834"/>
    <w:rsid w:val="000541AB"/>
    <w:rsid w:val="00057BD4"/>
    <w:rsid w:val="000831A9"/>
    <w:rsid w:val="0008656F"/>
    <w:rsid w:val="00086ED4"/>
    <w:rsid w:val="00091084"/>
    <w:rsid w:val="0009472F"/>
    <w:rsid w:val="0009672B"/>
    <w:rsid w:val="000B34EA"/>
    <w:rsid w:val="000B4992"/>
    <w:rsid w:val="000B578A"/>
    <w:rsid w:val="000B77F1"/>
    <w:rsid w:val="000C7BE3"/>
    <w:rsid w:val="000D4986"/>
    <w:rsid w:val="000E4C1B"/>
    <w:rsid w:val="000E7F9D"/>
    <w:rsid w:val="000F6355"/>
    <w:rsid w:val="001045CB"/>
    <w:rsid w:val="00105288"/>
    <w:rsid w:val="00111950"/>
    <w:rsid w:val="001204C3"/>
    <w:rsid w:val="001414E9"/>
    <w:rsid w:val="00141E36"/>
    <w:rsid w:val="00142395"/>
    <w:rsid w:val="00147BE4"/>
    <w:rsid w:val="00151402"/>
    <w:rsid w:val="00174AAC"/>
    <w:rsid w:val="00175B71"/>
    <w:rsid w:val="00180FD9"/>
    <w:rsid w:val="00182472"/>
    <w:rsid w:val="0018531B"/>
    <w:rsid w:val="00185824"/>
    <w:rsid w:val="0019303D"/>
    <w:rsid w:val="0019446A"/>
    <w:rsid w:val="001A5447"/>
    <w:rsid w:val="001A707B"/>
    <w:rsid w:val="001B7955"/>
    <w:rsid w:val="001C164E"/>
    <w:rsid w:val="001C5C98"/>
    <w:rsid w:val="001D6C13"/>
    <w:rsid w:val="001D779C"/>
    <w:rsid w:val="001E127F"/>
    <w:rsid w:val="001E1449"/>
    <w:rsid w:val="001E4011"/>
    <w:rsid w:val="001E46AF"/>
    <w:rsid w:val="001E477C"/>
    <w:rsid w:val="00211822"/>
    <w:rsid w:val="002313AB"/>
    <w:rsid w:val="00234817"/>
    <w:rsid w:val="00235D4A"/>
    <w:rsid w:val="00240E69"/>
    <w:rsid w:val="00243CD2"/>
    <w:rsid w:val="00244A19"/>
    <w:rsid w:val="0025133D"/>
    <w:rsid w:val="00254FA9"/>
    <w:rsid w:val="0025588B"/>
    <w:rsid w:val="00260D65"/>
    <w:rsid w:val="002617CB"/>
    <w:rsid w:val="00265E18"/>
    <w:rsid w:val="0026686F"/>
    <w:rsid w:val="002673E4"/>
    <w:rsid w:val="00271CB2"/>
    <w:rsid w:val="00274DA9"/>
    <w:rsid w:val="00282A2D"/>
    <w:rsid w:val="00283C89"/>
    <w:rsid w:val="00287B22"/>
    <w:rsid w:val="00290097"/>
    <w:rsid w:val="0029196B"/>
    <w:rsid w:val="00291988"/>
    <w:rsid w:val="002A018C"/>
    <w:rsid w:val="002A52F8"/>
    <w:rsid w:val="002B5136"/>
    <w:rsid w:val="002B526D"/>
    <w:rsid w:val="002C2D89"/>
    <w:rsid w:val="002C63A3"/>
    <w:rsid w:val="002D1702"/>
    <w:rsid w:val="002D71AA"/>
    <w:rsid w:val="002E2C3C"/>
    <w:rsid w:val="002F45E1"/>
    <w:rsid w:val="0030050E"/>
    <w:rsid w:val="003069CA"/>
    <w:rsid w:val="00312C5C"/>
    <w:rsid w:val="0033248D"/>
    <w:rsid w:val="00336F49"/>
    <w:rsid w:val="00342CC1"/>
    <w:rsid w:val="00342F28"/>
    <w:rsid w:val="003539E6"/>
    <w:rsid w:val="00356F62"/>
    <w:rsid w:val="00362ECE"/>
    <w:rsid w:val="00364086"/>
    <w:rsid w:val="0037397C"/>
    <w:rsid w:val="00380516"/>
    <w:rsid w:val="00381946"/>
    <w:rsid w:val="00385831"/>
    <w:rsid w:val="00387465"/>
    <w:rsid w:val="003A2C83"/>
    <w:rsid w:val="003B2BA2"/>
    <w:rsid w:val="003D1F10"/>
    <w:rsid w:val="003D3264"/>
    <w:rsid w:val="003E48AA"/>
    <w:rsid w:val="003F51F2"/>
    <w:rsid w:val="004001FB"/>
    <w:rsid w:val="00416CE1"/>
    <w:rsid w:val="00421011"/>
    <w:rsid w:val="00421511"/>
    <w:rsid w:val="00425130"/>
    <w:rsid w:val="00426458"/>
    <w:rsid w:val="00431FC5"/>
    <w:rsid w:val="00433E39"/>
    <w:rsid w:val="004340A3"/>
    <w:rsid w:val="00444C36"/>
    <w:rsid w:val="00446D43"/>
    <w:rsid w:val="00451F5E"/>
    <w:rsid w:val="00474C58"/>
    <w:rsid w:val="00482D1E"/>
    <w:rsid w:val="00491189"/>
    <w:rsid w:val="00492D80"/>
    <w:rsid w:val="004A1ECE"/>
    <w:rsid w:val="004B251E"/>
    <w:rsid w:val="004B41CD"/>
    <w:rsid w:val="004D18D0"/>
    <w:rsid w:val="004D203A"/>
    <w:rsid w:val="004D7B14"/>
    <w:rsid w:val="004E6DE4"/>
    <w:rsid w:val="004F148E"/>
    <w:rsid w:val="004F14E3"/>
    <w:rsid w:val="004F16E2"/>
    <w:rsid w:val="004F2B89"/>
    <w:rsid w:val="004F519A"/>
    <w:rsid w:val="00503939"/>
    <w:rsid w:val="00505470"/>
    <w:rsid w:val="005134C4"/>
    <w:rsid w:val="00513762"/>
    <w:rsid w:val="005326A6"/>
    <w:rsid w:val="00534D25"/>
    <w:rsid w:val="00552488"/>
    <w:rsid w:val="00553FBB"/>
    <w:rsid w:val="00554AEB"/>
    <w:rsid w:val="00573EF8"/>
    <w:rsid w:val="0057612D"/>
    <w:rsid w:val="005767F6"/>
    <w:rsid w:val="005836BE"/>
    <w:rsid w:val="00590C98"/>
    <w:rsid w:val="00593F53"/>
    <w:rsid w:val="005A2AF7"/>
    <w:rsid w:val="005B6E62"/>
    <w:rsid w:val="005C7F80"/>
    <w:rsid w:val="005D2B3C"/>
    <w:rsid w:val="005F25BF"/>
    <w:rsid w:val="005F5111"/>
    <w:rsid w:val="005F6A35"/>
    <w:rsid w:val="006009C6"/>
    <w:rsid w:val="0060494A"/>
    <w:rsid w:val="006247BD"/>
    <w:rsid w:val="00626F39"/>
    <w:rsid w:val="00635307"/>
    <w:rsid w:val="00636DB3"/>
    <w:rsid w:val="00640925"/>
    <w:rsid w:val="00640BBA"/>
    <w:rsid w:val="00644F86"/>
    <w:rsid w:val="00651609"/>
    <w:rsid w:val="0066068B"/>
    <w:rsid w:val="006614EB"/>
    <w:rsid w:val="00674C86"/>
    <w:rsid w:val="00681253"/>
    <w:rsid w:val="00693685"/>
    <w:rsid w:val="00694987"/>
    <w:rsid w:val="006A2410"/>
    <w:rsid w:val="006A60D7"/>
    <w:rsid w:val="006C06C8"/>
    <w:rsid w:val="006E08F9"/>
    <w:rsid w:val="006E2F47"/>
    <w:rsid w:val="006E7B40"/>
    <w:rsid w:val="006F05F7"/>
    <w:rsid w:val="006F12BD"/>
    <w:rsid w:val="00700AAC"/>
    <w:rsid w:val="00707F7C"/>
    <w:rsid w:val="00710E49"/>
    <w:rsid w:val="007112BB"/>
    <w:rsid w:val="007548D6"/>
    <w:rsid w:val="00771C7B"/>
    <w:rsid w:val="00771E74"/>
    <w:rsid w:val="0077566F"/>
    <w:rsid w:val="007A3402"/>
    <w:rsid w:val="007A38FD"/>
    <w:rsid w:val="007B54F2"/>
    <w:rsid w:val="00800392"/>
    <w:rsid w:val="00802C80"/>
    <w:rsid w:val="00805CC9"/>
    <w:rsid w:val="0080678D"/>
    <w:rsid w:val="00806A39"/>
    <w:rsid w:val="00807931"/>
    <w:rsid w:val="00810B95"/>
    <w:rsid w:val="00816441"/>
    <w:rsid w:val="00821881"/>
    <w:rsid w:val="00825537"/>
    <w:rsid w:val="0083451B"/>
    <w:rsid w:val="00835733"/>
    <w:rsid w:val="00846D22"/>
    <w:rsid w:val="00847CE3"/>
    <w:rsid w:val="00870194"/>
    <w:rsid w:val="00871754"/>
    <w:rsid w:val="00876D8A"/>
    <w:rsid w:val="00886AD1"/>
    <w:rsid w:val="00887920"/>
    <w:rsid w:val="00891674"/>
    <w:rsid w:val="008923EF"/>
    <w:rsid w:val="008A13F3"/>
    <w:rsid w:val="008B5C52"/>
    <w:rsid w:val="008C57EB"/>
    <w:rsid w:val="0090217A"/>
    <w:rsid w:val="009033B2"/>
    <w:rsid w:val="0091251E"/>
    <w:rsid w:val="00927AAB"/>
    <w:rsid w:val="00927EB8"/>
    <w:rsid w:val="00930530"/>
    <w:rsid w:val="0093072D"/>
    <w:rsid w:val="00930FD4"/>
    <w:rsid w:val="00931895"/>
    <w:rsid w:val="0093397E"/>
    <w:rsid w:val="00947A7C"/>
    <w:rsid w:val="00961BD5"/>
    <w:rsid w:val="009631DF"/>
    <w:rsid w:val="009658DA"/>
    <w:rsid w:val="009729F1"/>
    <w:rsid w:val="00982C6B"/>
    <w:rsid w:val="009862D7"/>
    <w:rsid w:val="0099077D"/>
    <w:rsid w:val="00992BFC"/>
    <w:rsid w:val="009A74D2"/>
    <w:rsid w:val="009C0E97"/>
    <w:rsid w:val="009C5C5A"/>
    <w:rsid w:val="009C7B49"/>
    <w:rsid w:val="009D1B16"/>
    <w:rsid w:val="009D2F1B"/>
    <w:rsid w:val="009D5FDA"/>
    <w:rsid w:val="009E0397"/>
    <w:rsid w:val="009F2359"/>
    <w:rsid w:val="009F3E04"/>
    <w:rsid w:val="00A0058B"/>
    <w:rsid w:val="00A0320D"/>
    <w:rsid w:val="00A06F1A"/>
    <w:rsid w:val="00A07078"/>
    <w:rsid w:val="00A122E8"/>
    <w:rsid w:val="00A15A30"/>
    <w:rsid w:val="00A20063"/>
    <w:rsid w:val="00A209A5"/>
    <w:rsid w:val="00A22E26"/>
    <w:rsid w:val="00A31F4F"/>
    <w:rsid w:val="00A45195"/>
    <w:rsid w:val="00A4642C"/>
    <w:rsid w:val="00A46B46"/>
    <w:rsid w:val="00A46CD3"/>
    <w:rsid w:val="00A52DF5"/>
    <w:rsid w:val="00A65E92"/>
    <w:rsid w:val="00A81A7F"/>
    <w:rsid w:val="00A82958"/>
    <w:rsid w:val="00A82E94"/>
    <w:rsid w:val="00A96928"/>
    <w:rsid w:val="00AA3A4F"/>
    <w:rsid w:val="00AA6674"/>
    <w:rsid w:val="00AA754B"/>
    <w:rsid w:val="00AB14EC"/>
    <w:rsid w:val="00AC193E"/>
    <w:rsid w:val="00AC344B"/>
    <w:rsid w:val="00AC7DD6"/>
    <w:rsid w:val="00AE164B"/>
    <w:rsid w:val="00AE4F34"/>
    <w:rsid w:val="00AE7356"/>
    <w:rsid w:val="00AE7CD5"/>
    <w:rsid w:val="00AF79A4"/>
    <w:rsid w:val="00B005CA"/>
    <w:rsid w:val="00B13F16"/>
    <w:rsid w:val="00B30851"/>
    <w:rsid w:val="00B3285D"/>
    <w:rsid w:val="00B4189E"/>
    <w:rsid w:val="00B5191C"/>
    <w:rsid w:val="00B51DE9"/>
    <w:rsid w:val="00B63271"/>
    <w:rsid w:val="00B715B4"/>
    <w:rsid w:val="00B85893"/>
    <w:rsid w:val="00B90296"/>
    <w:rsid w:val="00BA0B53"/>
    <w:rsid w:val="00BA18BA"/>
    <w:rsid w:val="00BA2F21"/>
    <w:rsid w:val="00BA7E6B"/>
    <w:rsid w:val="00BB124E"/>
    <w:rsid w:val="00BB1C62"/>
    <w:rsid w:val="00BB5A55"/>
    <w:rsid w:val="00BC0C0D"/>
    <w:rsid w:val="00BC1141"/>
    <w:rsid w:val="00BC18FF"/>
    <w:rsid w:val="00BC1AF9"/>
    <w:rsid w:val="00BC4414"/>
    <w:rsid w:val="00BC5F3F"/>
    <w:rsid w:val="00BD1C93"/>
    <w:rsid w:val="00BE0E43"/>
    <w:rsid w:val="00C0279D"/>
    <w:rsid w:val="00C03BB6"/>
    <w:rsid w:val="00C03D90"/>
    <w:rsid w:val="00C04F07"/>
    <w:rsid w:val="00C06A8E"/>
    <w:rsid w:val="00C17ACC"/>
    <w:rsid w:val="00C2071D"/>
    <w:rsid w:val="00C22B62"/>
    <w:rsid w:val="00C32B63"/>
    <w:rsid w:val="00C35AA4"/>
    <w:rsid w:val="00C3679C"/>
    <w:rsid w:val="00C41878"/>
    <w:rsid w:val="00C4732E"/>
    <w:rsid w:val="00C56FB6"/>
    <w:rsid w:val="00C64A75"/>
    <w:rsid w:val="00C70071"/>
    <w:rsid w:val="00C7186B"/>
    <w:rsid w:val="00C8461F"/>
    <w:rsid w:val="00C84B30"/>
    <w:rsid w:val="00CA12F3"/>
    <w:rsid w:val="00CA14F5"/>
    <w:rsid w:val="00CB1206"/>
    <w:rsid w:val="00CC0929"/>
    <w:rsid w:val="00CC572A"/>
    <w:rsid w:val="00CD2B08"/>
    <w:rsid w:val="00CF00B1"/>
    <w:rsid w:val="00D00800"/>
    <w:rsid w:val="00D118A9"/>
    <w:rsid w:val="00D12DA6"/>
    <w:rsid w:val="00D21B08"/>
    <w:rsid w:val="00D22F2D"/>
    <w:rsid w:val="00D37774"/>
    <w:rsid w:val="00D40758"/>
    <w:rsid w:val="00D45251"/>
    <w:rsid w:val="00D6005B"/>
    <w:rsid w:val="00D6050C"/>
    <w:rsid w:val="00D61D43"/>
    <w:rsid w:val="00D65E0C"/>
    <w:rsid w:val="00D77774"/>
    <w:rsid w:val="00D85E8E"/>
    <w:rsid w:val="00D8746D"/>
    <w:rsid w:val="00D91C3E"/>
    <w:rsid w:val="00D97246"/>
    <w:rsid w:val="00DB01BF"/>
    <w:rsid w:val="00DB436D"/>
    <w:rsid w:val="00DC2C42"/>
    <w:rsid w:val="00DC649C"/>
    <w:rsid w:val="00DD055E"/>
    <w:rsid w:val="00DD2CC7"/>
    <w:rsid w:val="00DE2A66"/>
    <w:rsid w:val="00DE5BBF"/>
    <w:rsid w:val="00E030A7"/>
    <w:rsid w:val="00E04240"/>
    <w:rsid w:val="00E13105"/>
    <w:rsid w:val="00E134C4"/>
    <w:rsid w:val="00E14E41"/>
    <w:rsid w:val="00E22E34"/>
    <w:rsid w:val="00E45162"/>
    <w:rsid w:val="00E56C34"/>
    <w:rsid w:val="00E723D7"/>
    <w:rsid w:val="00E73292"/>
    <w:rsid w:val="00E75E06"/>
    <w:rsid w:val="00E76C14"/>
    <w:rsid w:val="00E77D5B"/>
    <w:rsid w:val="00E978BC"/>
    <w:rsid w:val="00EA2B39"/>
    <w:rsid w:val="00EA3F70"/>
    <w:rsid w:val="00EB0227"/>
    <w:rsid w:val="00EB1CAF"/>
    <w:rsid w:val="00EB3F92"/>
    <w:rsid w:val="00ED39F1"/>
    <w:rsid w:val="00EE07F2"/>
    <w:rsid w:val="00EF0907"/>
    <w:rsid w:val="00EF767F"/>
    <w:rsid w:val="00F132D1"/>
    <w:rsid w:val="00F160A0"/>
    <w:rsid w:val="00F227BA"/>
    <w:rsid w:val="00F22AA3"/>
    <w:rsid w:val="00F34B53"/>
    <w:rsid w:val="00F372BE"/>
    <w:rsid w:val="00F4330B"/>
    <w:rsid w:val="00F605DF"/>
    <w:rsid w:val="00F742A2"/>
    <w:rsid w:val="00F7499D"/>
    <w:rsid w:val="00F90B19"/>
    <w:rsid w:val="00FA0AC6"/>
    <w:rsid w:val="00FA4167"/>
    <w:rsid w:val="00FA45C2"/>
    <w:rsid w:val="00FC0178"/>
    <w:rsid w:val="00FD35C6"/>
    <w:rsid w:val="00FE6C3E"/>
    <w:rsid w:val="00FF108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C69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E49"/>
    <w:pPr>
      <w:spacing w:after="0" w:line="240" w:lineRule="auto"/>
      <w:jc w:val="both"/>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710E49"/>
    <w:rPr>
      <w:sz w:val="16"/>
    </w:rPr>
  </w:style>
  <w:style w:type="paragraph" w:styleId="CommentText">
    <w:name w:val="annotation text"/>
    <w:basedOn w:val="Normal"/>
    <w:link w:val="CommentTextChar"/>
    <w:uiPriority w:val="99"/>
    <w:semiHidden/>
    <w:rsid w:val="00710E49"/>
    <w:rPr>
      <w:sz w:val="20"/>
      <w:szCs w:val="20"/>
    </w:rPr>
  </w:style>
  <w:style w:type="character" w:customStyle="1" w:styleId="CommentTextChar">
    <w:name w:val="Comment Text Char"/>
    <w:basedOn w:val="DefaultParagraphFont"/>
    <w:link w:val="CommentText"/>
    <w:uiPriority w:val="99"/>
    <w:semiHidden/>
    <w:rsid w:val="00710E49"/>
    <w:rPr>
      <w:rFonts w:ascii="Times New Roman" w:eastAsia="SimSun" w:hAnsi="Times New Roman" w:cs="Times New Roman"/>
      <w:sz w:val="20"/>
      <w:szCs w:val="20"/>
      <w:lang w:val="en-US" w:eastAsia="zh-CN"/>
    </w:rPr>
  </w:style>
  <w:style w:type="paragraph" w:styleId="ListParagraph">
    <w:name w:val="List Paragraph"/>
    <w:basedOn w:val="Normal"/>
    <w:qFormat/>
    <w:rsid w:val="00710E49"/>
    <w:pPr>
      <w:ind w:left="720"/>
    </w:pPr>
  </w:style>
  <w:style w:type="paragraph" w:styleId="BalloonText">
    <w:name w:val="Balloon Text"/>
    <w:basedOn w:val="Normal"/>
    <w:link w:val="BalloonTextChar"/>
    <w:uiPriority w:val="99"/>
    <w:semiHidden/>
    <w:unhideWhenUsed/>
    <w:rsid w:val="00710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49"/>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7548D6"/>
    <w:rPr>
      <w:b/>
      <w:bCs/>
    </w:rPr>
  </w:style>
  <w:style w:type="character" w:customStyle="1" w:styleId="CommentSubjectChar">
    <w:name w:val="Comment Subject Char"/>
    <w:basedOn w:val="CommentTextChar"/>
    <w:link w:val="CommentSubject"/>
    <w:uiPriority w:val="99"/>
    <w:semiHidden/>
    <w:rsid w:val="007548D6"/>
    <w:rPr>
      <w:rFonts w:ascii="Times New Roman" w:eastAsia="SimSun" w:hAnsi="Times New Roman" w:cs="Times New Roman"/>
      <w:b/>
      <w:bCs/>
      <w:sz w:val="20"/>
      <w:szCs w:val="20"/>
      <w:lang w:val="en-US" w:eastAsia="zh-CN"/>
    </w:rPr>
  </w:style>
  <w:style w:type="table" w:styleId="TableGrid">
    <w:name w:val="Table Grid"/>
    <w:basedOn w:val="TableNormal"/>
    <w:uiPriority w:val="39"/>
    <w:rsid w:val="0084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9A5"/>
    <w:pPr>
      <w:tabs>
        <w:tab w:val="center" w:pos="4680"/>
        <w:tab w:val="right" w:pos="9360"/>
      </w:tabs>
    </w:pPr>
  </w:style>
  <w:style w:type="character" w:customStyle="1" w:styleId="HeaderChar">
    <w:name w:val="Header Char"/>
    <w:basedOn w:val="DefaultParagraphFont"/>
    <w:link w:val="Header"/>
    <w:uiPriority w:val="99"/>
    <w:rsid w:val="00A209A5"/>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A209A5"/>
    <w:pPr>
      <w:tabs>
        <w:tab w:val="center" w:pos="4680"/>
        <w:tab w:val="right" w:pos="9360"/>
      </w:tabs>
    </w:pPr>
  </w:style>
  <w:style w:type="character" w:customStyle="1" w:styleId="FooterChar">
    <w:name w:val="Footer Char"/>
    <w:basedOn w:val="DefaultParagraphFont"/>
    <w:link w:val="Footer"/>
    <w:uiPriority w:val="99"/>
    <w:rsid w:val="00A209A5"/>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7703">
      <w:bodyDiv w:val="1"/>
      <w:marLeft w:val="0"/>
      <w:marRight w:val="0"/>
      <w:marTop w:val="0"/>
      <w:marBottom w:val="0"/>
      <w:divBdr>
        <w:top w:val="none" w:sz="0" w:space="0" w:color="auto"/>
        <w:left w:val="none" w:sz="0" w:space="0" w:color="auto"/>
        <w:bottom w:val="none" w:sz="0" w:space="0" w:color="auto"/>
        <w:right w:val="none" w:sz="0" w:space="0" w:color="auto"/>
      </w:divBdr>
    </w:div>
    <w:div w:id="594829626">
      <w:bodyDiv w:val="1"/>
      <w:marLeft w:val="0"/>
      <w:marRight w:val="0"/>
      <w:marTop w:val="0"/>
      <w:marBottom w:val="0"/>
      <w:divBdr>
        <w:top w:val="none" w:sz="0" w:space="0" w:color="auto"/>
        <w:left w:val="none" w:sz="0" w:space="0" w:color="auto"/>
        <w:bottom w:val="none" w:sz="0" w:space="0" w:color="auto"/>
        <w:right w:val="none" w:sz="0" w:space="0" w:color="auto"/>
      </w:divBdr>
    </w:div>
    <w:div w:id="952203731">
      <w:bodyDiv w:val="1"/>
      <w:marLeft w:val="0"/>
      <w:marRight w:val="0"/>
      <w:marTop w:val="0"/>
      <w:marBottom w:val="0"/>
      <w:divBdr>
        <w:top w:val="none" w:sz="0" w:space="0" w:color="auto"/>
        <w:left w:val="none" w:sz="0" w:space="0" w:color="auto"/>
        <w:bottom w:val="none" w:sz="0" w:space="0" w:color="auto"/>
        <w:right w:val="none" w:sz="0" w:space="0" w:color="auto"/>
      </w:divBdr>
    </w:div>
    <w:div w:id="1272398613">
      <w:bodyDiv w:val="1"/>
      <w:marLeft w:val="0"/>
      <w:marRight w:val="0"/>
      <w:marTop w:val="0"/>
      <w:marBottom w:val="0"/>
      <w:divBdr>
        <w:top w:val="none" w:sz="0" w:space="0" w:color="auto"/>
        <w:left w:val="none" w:sz="0" w:space="0" w:color="auto"/>
        <w:bottom w:val="none" w:sz="0" w:space="0" w:color="auto"/>
        <w:right w:val="none" w:sz="0" w:space="0" w:color="auto"/>
      </w:divBdr>
    </w:div>
    <w:div w:id="1586037820">
      <w:bodyDiv w:val="1"/>
      <w:marLeft w:val="0"/>
      <w:marRight w:val="0"/>
      <w:marTop w:val="0"/>
      <w:marBottom w:val="0"/>
      <w:divBdr>
        <w:top w:val="none" w:sz="0" w:space="0" w:color="auto"/>
        <w:left w:val="none" w:sz="0" w:space="0" w:color="auto"/>
        <w:bottom w:val="none" w:sz="0" w:space="0" w:color="auto"/>
        <w:right w:val="none" w:sz="0" w:space="0" w:color="auto"/>
      </w:divBdr>
    </w:div>
    <w:div w:id="1848867753">
      <w:bodyDiv w:val="1"/>
      <w:marLeft w:val="0"/>
      <w:marRight w:val="0"/>
      <w:marTop w:val="0"/>
      <w:marBottom w:val="0"/>
      <w:divBdr>
        <w:top w:val="none" w:sz="0" w:space="0" w:color="auto"/>
        <w:left w:val="none" w:sz="0" w:space="0" w:color="auto"/>
        <w:bottom w:val="none" w:sz="0" w:space="0" w:color="auto"/>
        <w:right w:val="none" w:sz="0" w:space="0" w:color="auto"/>
      </w:divBdr>
    </w:div>
    <w:div w:id="20070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CD506C2A5EA4E8EFEDCFC14FEA215" ma:contentTypeVersion="11" ma:contentTypeDescription="Create a new document." ma:contentTypeScope="" ma:versionID="746b14ddd3b56a409f571956e22542ff">
  <xsd:schema xmlns:xsd="http://www.w3.org/2001/XMLSchema" xmlns:xs="http://www.w3.org/2001/XMLSchema" xmlns:p="http://schemas.microsoft.com/office/2006/metadata/properties" xmlns:ns3="74e7bd83-1390-4993-9066-e84fc6febe96" xmlns:ns4="c14816c7-ad92-4fae-aacf-361e80438c07" targetNamespace="http://schemas.microsoft.com/office/2006/metadata/properties" ma:root="true" ma:fieldsID="d013b7e5d84cee351c6d833b48e3c8d8" ns3:_="" ns4:_="">
    <xsd:import namespace="74e7bd83-1390-4993-9066-e84fc6febe96"/>
    <xsd:import namespace="c14816c7-ad92-4fae-aacf-361e80438c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7bd83-1390-4993-9066-e84fc6febe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816c7-ad92-4fae-aacf-361e80438c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9D9F-F44E-472E-8F33-10F98C8A3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7bd83-1390-4993-9066-e84fc6febe96"/>
    <ds:schemaRef ds:uri="c14816c7-ad92-4fae-aacf-361e80438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4FA38-9945-4230-BC2A-5C2FA5E86F94}">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terms/"/>
    <ds:schemaRef ds:uri="c14816c7-ad92-4fae-aacf-361e80438c07"/>
    <ds:schemaRef ds:uri="http://schemas.microsoft.com/office/2006/documentManagement/types"/>
    <ds:schemaRef ds:uri="74e7bd83-1390-4993-9066-e84fc6febe96"/>
    <ds:schemaRef ds:uri="http://purl.org/dc/dcmitype/"/>
  </ds:schemaRefs>
</ds:datastoreItem>
</file>

<file path=customXml/itemProps3.xml><?xml version="1.0" encoding="utf-8"?>
<ds:datastoreItem xmlns:ds="http://schemas.openxmlformats.org/officeDocument/2006/customXml" ds:itemID="{9DF9C914-76BB-421A-8BF9-EB03E454C7FA}">
  <ds:schemaRefs>
    <ds:schemaRef ds:uri="http://schemas.microsoft.com/sharepoint/v3/contenttype/forms"/>
  </ds:schemaRefs>
</ds:datastoreItem>
</file>

<file path=customXml/itemProps4.xml><?xml version="1.0" encoding="utf-8"?>
<ds:datastoreItem xmlns:ds="http://schemas.openxmlformats.org/officeDocument/2006/customXml" ds:itemID="{85C0BAB8-FD93-40B1-962C-8E0CEB9B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2019-12-21T05:38:00Z</dcterms:created>
  <dcterms:modified xsi:type="dcterms:W3CDTF">2019-12-21T05:55:00Z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0x010100017CD506C2A5EA4E8EFEDCFC14FEA215</vt:lpwstr>
  </property>
</Properties>
</file>